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A71" w:rsidRDefault="00BD672D">
      <w:pPr>
        <w:rPr>
          <w:lang w:val="en-US"/>
        </w:rPr>
      </w:pPr>
      <w:r>
        <w:rPr>
          <w:noProof/>
          <w:lang w:eastAsia="el-GR"/>
        </w:rPr>
        <w:pict>
          <v:rect id="_x0000_s1026" style="position:absolute;margin-left:33.25pt;margin-top:-.15pt;width:345.35pt;height:72.65pt;z-index:251658240;v-text-anchor:bottom" filled="f" fillcolor="#bdd438" stroked="f">
            <v:shadow color="#66667e"/>
            <v:textbox style="mso-next-textbox:#_x0000_s1026" inset="3.6pt">
              <w:txbxContent>
                <w:p w:rsidR="00AD2A71" w:rsidRPr="00A214C8" w:rsidRDefault="00AD2A71" w:rsidP="00AD2A71">
                  <w:pPr>
                    <w:pStyle w:val="amgbluetitle18pt"/>
                    <w:spacing w:after="0"/>
                    <w:ind w:left="0"/>
                    <w:jc w:val="both"/>
                    <w:rPr>
                      <w:color w:val="auto"/>
                      <w:szCs w:val="36"/>
                      <w:lang w:val="el-GR"/>
                    </w:rPr>
                  </w:pPr>
                  <w:r w:rsidRPr="00A22D5F">
                    <w:rPr>
                      <w:color w:val="auto"/>
                      <w:sz w:val="28"/>
                      <w:szCs w:val="28"/>
                      <w:lang w:val="el-GR"/>
                    </w:rPr>
                    <w:t xml:space="preserve">Η </w:t>
                  </w:r>
                  <w:r>
                    <w:rPr>
                      <w:color w:val="auto"/>
                      <w:sz w:val="28"/>
                      <w:szCs w:val="28"/>
                      <w:lang w:val="el-GR"/>
                    </w:rPr>
                    <w:t>Κ</w:t>
                  </w:r>
                  <w:r w:rsidRPr="00A22D5F">
                    <w:rPr>
                      <w:color w:val="auto"/>
                      <w:sz w:val="28"/>
                      <w:szCs w:val="28"/>
                      <w:lang w:val="el-GR"/>
                    </w:rPr>
                    <w:t xml:space="preserve">λινική </w:t>
                  </w:r>
                  <w:r>
                    <w:rPr>
                      <w:color w:val="auto"/>
                      <w:sz w:val="28"/>
                      <w:szCs w:val="28"/>
                      <w:lang w:val="el-GR"/>
                    </w:rPr>
                    <w:t>Μ</w:t>
                  </w:r>
                  <w:r w:rsidRPr="00A22D5F">
                    <w:rPr>
                      <w:color w:val="auto"/>
                      <w:sz w:val="28"/>
                      <w:szCs w:val="28"/>
                      <w:lang w:val="el-GR"/>
                    </w:rPr>
                    <w:t>ελέτη</w:t>
                  </w:r>
                  <w:r w:rsidRPr="00A22D5F">
                    <w:rPr>
                      <w:rStyle w:val="FontStyle18"/>
                      <w:lang w:val="el-GR"/>
                    </w:rPr>
                    <w:t xml:space="preserve"> </w:t>
                  </w:r>
                  <w:r w:rsidRPr="00AC6A32">
                    <w:rPr>
                      <w:color w:val="auto"/>
                      <w:sz w:val="28"/>
                      <w:szCs w:val="28"/>
                    </w:rPr>
                    <w:t>F</w:t>
                  </w:r>
                  <w:r>
                    <w:rPr>
                      <w:color w:val="auto"/>
                      <w:sz w:val="28"/>
                      <w:szCs w:val="28"/>
                    </w:rPr>
                    <w:t>REEDOM</w:t>
                  </w:r>
                  <w:r w:rsidRPr="00941C1D">
                    <w:rPr>
                      <w:color w:val="auto"/>
                      <w:sz w:val="28"/>
                      <w:szCs w:val="28"/>
                      <w:lang w:val="el-GR"/>
                    </w:rPr>
                    <w:t xml:space="preserve"> </w:t>
                  </w:r>
                  <w:r w:rsidRPr="00AC6A32">
                    <w:rPr>
                      <w:color w:val="auto"/>
                      <w:sz w:val="28"/>
                      <w:szCs w:val="28"/>
                      <w:lang w:val="el-GR"/>
                    </w:rPr>
                    <w:t xml:space="preserve">για το </w:t>
                  </w:r>
                  <w:proofErr w:type="spellStart"/>
                  <w:r w:rsidRPr="00AC6A32">
                    <w:rPr>
                      <w:color w:val="auto"/>
                      <w:sz w:val="28"/>
                      <w:szCs w:val="28"/>
                    </w:rPr>
                    <w:t>Denosumab</w:t>
                  </w:r>
                  <w:proofErr w:type="spellEnd"/>
                </w:p>
                <w:p w:rsidR="00AD2A71" w:rsidRPr="00261546" w:rsidRDefault="00AD2A71" w:rsidP="00AD2A71">
                  <w:pPr>
                    <w:jc w:val="both"/>
                  </w:pPr>
                </w:p>
              </w:txbxContent>
            </v:textbox>
            <w10:wrap type="square"/>
          </v:rect>
        </w:pict>
      </w:r>
    </w:p>
    <w:p w:rsidR="00AD2A71" w:rsidRDefault="00AD2A71">
      <w:pPr>
        <w:rPr>
          <w:lang w:val="en-US"/>
        </w:rPr>
      </w:pPr>
    </w:p>
    <w:p w:rsidR="00AD2A71" w:rsidRDefault="00AD2A71">
      <w:pPr>
        <w:rPr>
          <w:lang w:val="en-US"/>
        </w:rPr>
      </w:pPr>
    </w:p>
    <w:p w:rsidR="00AD2A71" w:rsidRDefault="00AD2A71">
      <w:pPr>
        <w:rPr>
          <w:lang w:val="en-US"/>
        </w:rPr>
      </w:pPr>
      <w:r>
        <w:rPr>
          <w:b/>
          <w:noProof/>
          <w:lang w:eastAsia="el-GR"/>
        </w:rPr>
        <w:drawing>
          <wp:inline distT="0" distB="0" distL="0" distR="0">
            <wp:extent cx="6029046" cy="141241"/>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t="26315"/>
                    <a:stretch>
                      <a:fillRect/>
                    </a:stretch>
                  </pic:blipFill>
                  <pic:spPr bwMode="auto">
                    <a:xfrm>
                      <a:off x="0" y="0"/>
                      <a:ext cx="6327572" cy="148235"/>
                    </a:xfrm>
                    <a:prstGeom prst="rect">
                      <a:avLst/>
                    </a:prstGeom>
                    <a:noFill/>
                    <a:ln w="9525">
                      <a:noFill/>
                      <a:miter lim="800000"/>
                      <a:headEnd/>
                      <a:tailEnd/>
                    </a:ln>
                  </pic:spPr>
                </pic:pic>
              </a:graphicData>
            </a:graphic>
          </wp:inline>
        </w:drawing>
      </w:r>
    </w:p>
    <w:p w:rsidR="00D93516" w:rsidRDefault="00D93516" w:rsidP="00AD2A71">
      <w:pPr>
        <w:pStyle w:val="Style3"/>
        <w:widowControl/>
        <w:spacing w:before="220" w:line="220" w:lineRule="exact"/>
        <w:outlineLvl w:val="0"/>
        <w:rPr>
          <w:rFonts w:ascii="Segoe UI" w:hAnsi="Segoe UI" w:cs="Segoe UI"/>
          <w:b/>
          <w:color w:val="0063C3"/>
          <w:sz w:val="20"/>
          <w:szCs w:val="20"/>
          <w:lang w:val="en-US"/>
        </w:rPr>
      </w:pPr>
    </w:p>
    <w:p w:rsidR="00AD2A71" w:rsidRDefault="00AD2A71" w:rsidP="00AD2A71">
      <w:pPr>
        <w:pStyle w:val="Style3"/>
        <w:widowControl/>
        <w:spacing w:before="220" w:line="220" w:lineRule="exact"/>
        <w:outlineLvl w:val="0"/>
        <w:rPr>
          <w:rFonts w:ascii="Segoe UI" w:hAnsi="Segoe UI" w:cs="Segoe UI"/>
          <w:b/>
          <w:color w:val="0063C3"/>
          <w:sz w:val="20"/>
          <w:szCs w:val="20"/>
          <w:lang w:val="en-US"/>
        </w:rPr>
      </w:pPr>
      <w:r w:rsidRPr="007D257D">
        <w:rPr>
          <w:rFonts w:ascii="Segoe UI" w:hAnsi="Segoe UI" w:cs="Segoe UI"/>
          <w:b/>
          <w:color w:val="0063C3"/>
          <w:sz w:val="20"/>
          <w:szCs w:val="20"/>
        </w:rPr>
        <w:t>Κύρια σημεία</w:t>
      </w:r>
    </w:p>
    <w:p w:rsidR="00324B83" w:rsidRPr="00324B83" w:rsidRDefault="00324B83" w:rsidP="00AD2A71">
      <w:pPr>
        <w:pStyle w:val="Style3"/>
        <w:widowControl/>
        <w:spacing w:before="220" w:line="220" w:lineRule="exact"/>
        <w:outlineLvl w:val="0"/>
        <w:rPr>
          <w:rFonts w:ascii="Segoe UI" w:hAnsi="Segoe UI" w:cs="Segoe UI"/>
          <w:b/>
          <w:color w:val="0063C3"/>
          <w:sz w:val="20"/>
          <w:szCs w:val="20"/>
          <w:lang w:val="en-US"/>
        </w:rPr>
      </w:pPr>
    </w:p>
    <w:p w:rsidR="00AD2A71" w:rsidRPr="007D257D" w:rsidRDefault="00AD2A71" w:rsidP="00AD2A71">
      <w:pPr>
        <w:pStyle w:val="Style3"/>
        <w:widowControl/>
        <w:numPr>
          <w:ilvl w:val="0"/>
          <w:numId w:val="1"/>
        </w:numPr>
        <w:spacing w:before="220" w:after="120" w:line="220" w:lineRule="exact"/>
        <w:ind w:left="714" w:hanging="357"/>
        <w:jc w:val="both"/>
        <w:rPr>
          <w:rFonts w:ascii="Segoe UI" w:hAnsi="Segoe UI" w:cs="Segoe UI"/>
          <w:color w:val="000000"/>
          <w:sz w:val="20"/>
          <w:szCs w:val="20"/>
        </w:rPr>
      </w:pPr>
      <w:r w:rsidRPr="007D257D">
        <w:rPr>
          <w:rFonts w:ascii="Segoe UI" w:hAnsi="Segoe UI" w:cs="Segoe UI"/>
          <w:color w:val="000000"/>
          <w:sz w:val="20"/>
          <w:szCs w:val="20"/>
        </w:rPr>
        <w:t xml:space="preserve">Σκοπός της παρούσας </w:t>
      </w:r>
      <w:r>
        <w:rPr>
          <w:rFonts w:ascii="Segoe UI" w:hAnsi="Segoe UI" w:cs="Segoe UI"/>
          <w:color w:val="000000"/>
          <w:sz w:val="20"/>
          <w:szCs w:val="20"/>
        </w:rPr>
        <w:t>μελέτης</w:t>
      </w:r>
      <w:r w:rsidRPr="007D257D">
        <w:rPr>
          <w:rFonts w:ascii="Segoe UI" w:hAnsi="Segoe UI" w:cs="Segoe UI"/>
          <w:color w:val="000000"/>
          <w:sz w:val="20"/>
          <w:szCs w:val="20"/>
        </w:rPr>
        <w:t xml:space="preserve"> ήταν να αξιολογήσει την αποτελεσματικότητα και</w:t>
      </w:r>
      <w:r>
        <w:rPr>
          <w:rFonts w:ascii="Segoe UI" w:hAnsi="Segoe UI" w:cs="Segoe UI"/>
          <w:color w:val="000000"/>
          <w:sz w:val="20"/>
          <w:szCs w:val="20"/>
        </w:rPr>
        <w:t xml:space="preserve"> την ασφάλεια του </w:t>
      </w:r>
      <w:proofErr w:type="spellStart"/>
      <w:r>
        <w:rPr>
          <w:rFonts w:ascii="Segoe UI" w:hAnsi="Segoe UI" w:cs="Segoe UI"/>
          <w:color w:val="000000"/>
          <w:sz w:val="20"/>
          <w:szCs w:val="20"/>
        </w:rPr>
        <w:t>denosumab</w:t>
      </w:r>
      <w:proofErr w:type="spellEnd"/>
      <w:r>
        <w:rPr>
          <w:rFonts w:ascii="Segoe UI" w:hAnsi="Segoe UI" w:cs="Segoe UI"/>
          <w:color w:val="000000"/>
          <w:sz w:val="20"/>
          <w:szCs w:val="20"/>
        </w:rPr>
        <w:t xml:space="preserve"> στη</w:t>
      </w:r>
      <w:r w:rsidRPr="007D257D">
        <w:rPr>
          <w:rFonts w:ascii="Segoe UI" w:hAnsi="Segoe UI" w:cs="Segoe UI"/>
          <w:color w:val="000000"/>
          <w:sz w:val="20"/>
          <w:szCs w:val="20"/>
        </w:rPr>
        <w:t xml:space="preserve"> θεραπεία γυναικών με </w:t>
      </w:r>
      <w:proofErr w:type="spellStart"/>
      <w:r w:rsidRPr="007D257D">
        <w:rPr>
          <w:rFonts w:ascii="Segoe UI" w:hAnsi="Segoe UI" w:cs="Segoe UI"/>
          <w:color w:val="000000"/>
          <w:sz w:val="20"/>
          <w:szCs w:val="20"/>
        </w:rPr>
        <w:t>μετεμμηνοπαυσιακή</w:t>
      </w:r>
      <w:proofErr w:type="spellEnd"/>
      <w:r w:rsidRPr="007D257D">
        <w:rPr>
          <w:rFonts w:ascii="Segoe UI" w:hAnsi="Segoe UI" w:cs="Segoe UI"/>
          <w:color w:val="000000"/>
          <w:sz w:val="20"/>
          <w:szCs w:val="20"/>
        </w:rPr>
        <w:t xml:space="preserve"> Οστεοπόρωση.</w:t>
      </w:r>
    </w:p>
    <w:p w:rsidR="00AD2A71" w:rsidRPr="007D257D" w:rsidRDefault="00AD2A71" w:rsidP="00AD2A71">
      <w:pPr>
        <w:pStyle w:val="Style3"/>
        <w:widowControl/>
        <w:numPr>
          <w:ilvl w:val="0"/>
          <w:numId w:val="1"/>
        </w:numPr>
        <w:spacing w:before="220" w:after="120" w:line="220" w:lineRule="exact"/>
        <w:ind w:left="714" w:hanging="357"/>
        <w:jc w:val="both"/>
        <w:rPr>
          <w:rFonts w:ascii="Segoe UI" w:hAnsi="Segoe UI" w:cs="Segoe UI"/>
          <w:color w:val="000000"/>
          <w:sz w:val="20"/>
          <w:szCs w:val="20"/>
        </w:rPr>
      </w:pPr>
      <w:proofErr w:type="spellStart"/>
      <w:r w:rsidRPr="007D257D">
        <w:rPr>
          <w:rFonts w:ascii="Segoe UI" w:hAnsi="Segoe UI" w:cs="Segoe UI"/>
          <w:color w:val="000000"/>
          <w:sz w:val="20"/>
          <w:szCs w:val="20"/>
        </w:rPr>
        <w:t>Oι</w:t>
      </w:r>
      <w:proofErr w:type="spellEnd"/>
      <w:r w:rsidRPr="007D257D">
        <w:rPr>
          <w:rFonts w:ascii="Segoe UI" w:hAnsi="Segoe UI" w:cs="Segoe UI"/>
          <w:color w:val="000000"/>
          <w:sz w:val="20"/>
          <w:szCs w:val="20"/>
        </w:rPr>
        <w:t xml:space="preserve"> ασθενείς χωρίστηκαν τυχαία σε δύο ομάδες. Η μία έλαβε  60 </w:t>
      </w:r>
      <w:proofErr w:type="spellStart"/>
      <w:r w:rsidRPr="007D257D">
        <w:rPr>
          <w:rFonts w:ascii="Segoe UI" w:hAnsi="Segoe UI" w:cs="Segoe UI"/>
          <w:color w:val="000000"/>
          <w:sz w:val="20"/>
          <w:szCs w:val="20"/>
        </w:rPr>
        <w:t>mg</w:t>
      </w:r>
      <w:proofErr w:type="spellEnd"/>
      <w:r w:rsidRPr="007D257D">
        <w:rPr>
          <w:rFonts w:ascii="Segoe UI" w:hAnsi="Segoe UI" w:cs="Segoe UI"/>
          <w:color w:val="000000"/>
          <w:sz w:val="20"/>
          <w:szCs w:val="20"/>
        </w:rPr>
        <w:t xml:space="preserve"> </w:t>
      </w:r>
      <w:proofErr w:type="spellStart"/>
      <w:r w:rsidRPr="007D257D">
        <w:rPr>
          <w:rFonts w:ascii="Segoe UI" w:hAnsi="Segoe UI" w:cs="Segoe UI"/>
          <w:color w:val="000000"/>
          <w:sz w:val="20"/>
          <w:szCs w:val="20"/>
        </w:rPr>
        <w:t>denosumab</w:t>
      </w:r>
      <w:proofErr w:type="spellEnd"/>
      <w:r w:rsidRPr="007D257D">
        <w:rPr>
          <w:rFonts w:ascii="Segoe UI" w:hAnsi="Segoe UI" w:cs="Segoe UI"/>
          <w:color w:val="000000"/>
          <w:sz w:val="20"/>
          <w:szCs w:val="20"/>
        </w:rPr>
        <w:t xml:space="preserve"> με υποδόρια ένεση κάθε 6 μήνες με επιπλέον καθημερινή λήψη ασβεστίου (τουλάχιστον 1 g) και βιταμίνης D (τουλάχιστον 400 IU) και η άλλη </w:t>
      </w:r>
      <w:r>
        <w:rPr>
          <w:rFonts w:ascii="Segoe UI" w:hAnsi="Segoe UI" w:cs="Segoe UI"/>
          <w:color w:val="000000"/>
          <w:sz w:val="20"/>
          <w:szCs w:val="20"/>
        </w:rPr>
        <w:t>εικονικό φάρμακο (</w:t>
      </w:r>
      <w:r w:rsidRPr="007D257D">
        <w:rPr>
          <w:rFonts w:ascii="Segoe UI" w:hAnsi="Segoe UI" w:cs="Segoe UI"/>
          <w:color w:val="000000"/>
          <w:sz w:val="20"/>
          <w:szCs w:val="20"/>
          <w:lang w:val="en-US"/>
        </w:rPr>
        <w:t>placebo</w:t>
      </w:r>
      <w:r>
        <w:rPr>
          <w:rFonts w:ascii="Segoe UI" w:hAnsi="Segoe UI" w:cs="Segoe UI"/>
          <w:color w:val="000000"/>
          <w:sz w:val="20"/>
          <w:szCs w:val="20"/>
        </w:rPr>
        <w:t>)</w:t>
      </w:r>
      <w:r w:rsidRPr="007D257D">
        <w:rPr>
          <w:rFonts w:ascii="Segoe UI" w:hAnsi="Segoe UI" w:cs="Segoe UI"/>
          <w:color w:val="000000"/>
          <w:sz w:val="20"/>
          <w:szCs w:val="20"/>
        </w:rPr>
        <w:t xml:space="preserve"> με υποδόρια ένεση, καθώς και ασβέστιο και βιταμίνη D.</w:t>
      </w:r>
    </w:p>
    <w:p w:rsidR="00AD2A71" w:rsidRPr="007D257D" w:rsidRDefault="00AD2A71" w:rsidP="00AD2A71">
      <w:pPr>
        <w:pStyle w:val="Style3"/>
        <w:widowControl/>
        <w:numPr>
          <w:ilvl w:val="0"/>
          <w:numId w:val="1"/>
        </w:numPr>
        <w:spacing w:before="220" w:after="120" w:line="220" w:lineRule="exact"/>
        <w:ind w:left="714" w:hanging="357"/>
        <w:jc w:val="both"/>
        <w:rPr>
          <w:rFonts w:ascii="Segoe UI" w:hAnsi="Segoe UI" w:cs="Segoe UI"/>
          <w:color w:val="000000"/>
          <w:sz w:val="20"/>
          <w:szCs w:val="20"/>
        </w:rPr>
      </w:pPr>
      <w:r w:rsidRPr="007D257D">
        <w:rPr>
          <w:rFonts w:ascii="Segoe UI" w:hAnsi="Segoe UI" w:cs="Segoe UI"/>
          <w:color w:val="000000"/>
          <w:sz w:val="20"/>
          <w:szCs w:val="20"/>
        </w:rPr>
        <w:t>Στη</w:t>
      </w:r>
      <w:r>
        <w:rPr>
          <w:rFonts w:ascii="Segoe UI" w:hAnsi="Segoe UI" w:cs="Segoe UI"/>
          <w:color w:val="000000"/>
          <w:sz w:val="20"/>
          <w:szCs w:val="20"/>
        </w:rPr>
        <w:t xml:space="preserve"> μελέτη</w:t>
      </w:r>
      <w:r w:rsidRPr="007D257D">
        <w:rPr>
          <w:rFonts w:ascii="Segoe UI" w:hAnsi="Segoe UI" w:cs="Segoe UI"/>
          <w:color w:val="000000"/>
          <w:sz w:val="20"/>
          <w:szCs w:val="20"/>
        </w:rPr>
        <w:t xml:space="preserve"> FREEDOM,  το </w:t>
      </w:r>
      <w:proofErr w:type="spellStart"/>
      <w:r w:rsidRPr="007D257D">
        <w:rPr>
          <w:rFonts w:ascii="Segoe UI" w:hAnsi="Segoe UI" w:cs="Segoe UI"/>
          <w:color w:val="000000"/>
          <w:sz w:val="20"/>
          <w:szCs w:val="20"/>
        </w:rPr>
        <w:t>denosumab</w:t>
      </w:r>
      <w:proofErr w:type="spellEnd"/>
      <w:r w:rsidRPr="007D257D">
        <w:rPr>
          <w:rFonts w:ascii="Segoe UI" w:hAnsi="Segoe UI" w:cs="Segoe UI"/>
          <w:color w:val="000000"/>
          <w:sz w:val="20"/>
          <w:szCs w:val="20"/>
        </w:rPr>
        <w:t xml:space="preserve"> επέδειξε σημαντική μείωση του σχετικού κίνδυνου εμφάνισης καταγμάτων σε όλα τα σημεία του σώματος που εξετάστηκαν, συμπεριλαμβανομένων του ισχίου, της σπονδυλικής στήλης και άλλων περιοχών εκτός σπονδυλικής στήλης έναντι του </w:t>
      </w:r>
      <w:r w:rsidRPr="007D257D">
        <w:rPr>
          <w:rFonts w:ascii="Segoe UI" w:hAnsi="Segoe UI" w:cs="Segoe UI"/>
          <w:color w:val="000000"/>
          <w:sz w:val="20"/>
          <w:szCs w:val="20"/>
          <w:lang w:val="en-US"/>
        </w:rPr>
        <w:t>placebo</w:t>
      </w:r>
      <w:r w:rsidRPr="007D257D">
        <w:rPr>
          <w:rFonts w:ascii="Segoe UI" w:hAnsi="Segoe UI" w:cs="Segoe UI"/>
          <w:color w:val="000000"/>
          <w:sz w:val="20"/>
          <w:szCs w:val="20"/>
        </w:rPr>
        <w:t>.</w:t>
      </w:r>
    </w:p>
    <w:p w:rsidR="00AD2A71" w:rsidRPr="00B01ADB" w:rsidRDefault="00AD2A71" w:rsidP="00AD2A71">
      <w:pPr>
        <w:pStyle w:val="Style3"/>
        <w:widowControl/>
        <w:numPr>
          <w:ilvl w:val="0"/>
          <w:numId w:val="1"/>
        </w:numPr>
        <w:spacing w:before="220" w:after="120" w:line="220" w:lineRule="exact"/>
        <w:ind w:left="714" w:hanging="357"/>
        <w:jc w:val="both"/>
        <w:rPr>
          <w:rFonts w:ascii="Segoe UI" w:hAnsi="Segoe UI" w:cs="Segoe UI"/>
          <w:color w:val="000000"/>
          <w:sz w:val="20"/>
          <w:szCs w:val="20"/>
        </w:rPr>
      </w:pPr>
      <w:r w:rsidRPr="00B01ADB">
        <w:rPr>
          <w:rFonts w:ascii="Segoe UI" w:hAnsi="Segoe UI" w:cs="Segoe UI"/>
          <w:color w:val="000000"/>
          <w:sz w:val="20"/>
          <w:szCs w:val="20"/>
        </w:rPr>
        <w:t xml:space="preserve">Επιπλέον, οι γυναίκες  στις οποίες  χορηγήθηκε </w:t>
      </w:r>
      <w:proofErr w:type="spellStart"/>
      <w:r w:rsidRPr="00B01ADB">
        <w:rPr>
          <w:rFonts w:ascii="Segoe UI" w:hAnsi="Segoe UI" w:cs="Segoe UI"/>
          <w:color w:val="000000"/>
          <w:sz w:val="20"/>
          <w:szCs w:val="20"/>
        </w:rPr>
        <w:t>denosumab</w:t>
      </w:r>
      <w:proofErr w:type="spellEnd"/>
      <w:r w:rsidRPr="00B01ADB">
        <w:rPr>
          <w:rFonts w:ascii="Segoe UI" w:hAnsi="Segoe UI" w:cs="Segoe UI"/>
          <w:color w:val="000000"/>
          <w:sz w:val="20"/>
          <w:szCs w:val="20"/>
        </w:rPr>
        <w:t>, εμφάνισαν σημαντική αύξηση στην οστική πυκνότητα έναντι της ομάδας που έλαβε εικονικό φάρμακο (</w:t>
      </w:r>
      <w:r w:rsidRPr="00B01ADB">
        <w:rPr>
          <w:rFonts w:ascii="Segoe UI" w:hAnsi="Segoe UI" w:cs="Segoe UI"/>
          <w:color w:val="000000"/>
          <w:sz w:val="20"/>
          <w:szCs w:val="20"/>
          <w:lang w:val="en-US"/>
        </w:rPr>
        <w:t>placebo</w:t>
      </w:r>
      <w:r w:rsidRPr="00B01ADB">
        <w:rPr>
          <w:rFonts w:ascii="Segoe UI" w:hAnsi="Segoe UI" w:cs="Segoe UI"/>
          <w:color w:val="000000"/>
          <w:sz w:val="20"/>
          <w:szCs w:val="20"/>
        </w:rPr>
        <w:t>).</w:t>
      </w:r>
    </w:p>
    <w:p w:rsidR="00AD2A71" w:rsidRPr="00B01ADB" w:rsidRDefault="00AD2A71" w:rsidP="00AD2A71">
      <w:pPr>
        <w:pStyle w:val="Style3"/>
        <w:widowControl/>
        <w:numPr>
          <w:ilvl w:val="0"/>
          <w:numId w:val="1"/>
        </w:numPr>
        <w:spacing w:before="220" w:after="120" w:line="220" w:lineRule="exact"/>
        <w:ind w:left="714" w:hanging="357"/>
        <w:jc w:val="both"/>
        <w:rPr>
          <w:rFonts w:ascii="Segoe UI" w:hAnsi="Segoe UI" w:cs="Segoe UI"/>
          <w:color w:val="000000"/>
          <w:sz w:val="20"/>
          <w:szCs w:val="20"/>
        </w:rPr>
      </w:pPr>
      <w:r w:rsidRPr="00B01ADB">
        <w:rPr>
          <w:rFonts w:ascii="Segoe UI" w:hAnsi="Segoe UI" w:cs="Segoe UI"/>
          <w:color w:val="000000"/>
          <w:sz w:val="20"/>
          <w:szCs w:val="20"/>
        </w:rPr>
        <w:t xml:space="preserve">Η συχνότητα και το είδος των ανεπιθύμητων και των σοβαρών ανεπιθύμητων </w:t>
      </w:r>
      <w:proofErr w:type="spellStart"/>
      <w:r w:rsidRPr="00B01ADB">
        <w:rPr>
          <w:rFonts w:ascii="Segoe UI" w:hAnsi="Segoe UI" w:cs="Segoe UI"/>
          <w:color w:val="000000"/>
          <w:sz w:val="20"/>
          <w:szCs w:val="20"/>
        </w:rPr>
        <w:t>συμβαμάτων</w:t>
      </w:r>
      <w:proofErr w:type="spellEnd"/>
      <w:r w:rsidRPr="00B01ADB">
        <w:rPr>
          <w:rFonts w:ascii="Segoe UI" w:hAnsi="Segoe UI" w:cs="Segoe UI"/>
          <w:color w:val="000000"/>
          <w:sz w:val="20"/>
          <w:szCs w:val="20"/>
        </w:rPr>
        <w:t xml:space="preserve"> για το  </w:t>
      </w:r>
      <w:proofErr w:type="spellStart"/>
      <w:r w:rsidRPr="00B01ADB">
        <w:rPr>
          <w:rFonts w:ascii="Segoe UI" w:hAnsi="Segoe UI" w:cs="Segoe UI"/>
          <w:color w:val="000000"/>
          <w:sz w:val="20"/>
          <w:szCs w:val="20"/>
        </w:rPr>
        <w:t>denosumab</w:t>
      </w:r>
      <w:proofErr w:type="spellEnd"/>
      <w:r w:rsidRPr="00B01ADB">
        <w:rPr>
          <w:rFonts w:ascii="Segoe UI" w:hAnsi="Segoe UI" w:cs="Segoe UI"/>
          <w:color w:val="000000"/>
          <w:sz w:val="20"/>
          <w:szCs w:val="20"/>
        </w:rPr>
        <w:t xml:space="preserve"> ήταν παρόμοια με αυτά που παρατηρήθηκαν στην ομάδα που έλαβε το εικονικό φάρμακο (</w:t>
      </w:r>
      <w:r w:rsidRPr="00B01ADB">
        <w:rPr>
          <w:rFonts w:ascii="Segoe UI" w:hAnsi="Segoe UI" w:cs="Segoe UI"/>
          <w:color w:val="000000"/>
          <w:sz w:val="20"/>
          <w:szCs w:val="20"/>
          <w:lang w:val="en-US"/>
        </w:rPr>
        <w:t>placebo</w:t>
      </w:r>
      <w:r w:rsidRPr="00B01ADB">
        <w:rPr>
          <w:rFonts w:ascii="Segoe UI" w:hAnsi="Segoe UI" w:cs="Segoe UI"/>
          <w:color w:val="000000"/>
          <w:sz w:val="20"/>
          <w:szCs w:val="20"/>
        </w:rPr>
        <w:t xml:space="preserve">). Τα πιο συχνά ανεπιθύμητα </w:t>
      </w:r>
      <w:proofErr w:type="spellStart"/>
      <w:r w:rsidRPr="00B01ADB">
        <w:rPr>
          <w:rFonts w:ascii="Segoe UI" w:hAnsi="Segoe UI" w:cs="Segoe UI"/>
          <w:color w:val="000000"/>
          <w:sz w:val="20"/>
          <w:szCs w:val="20"/>
        </w:rPr>
        <w:t>συμβάματα</w:t>
      </w:r>
      <w:proofErr w:type="spellEnd"/>
      <w:r w:rsidRPr="00B01ADB">
        <w:rPr>
          <w:rFonts w:ascii="Segoe UI" w:hAnsi="Segoe UI" w:cs="Segoe UI"/>
          <w:color w:val="000000"/>
          <w:sz w:val="20"/>
          <w:szCs w:val="20"/>
        </w:rPr>
        <w:t xml:space="preserve"> και στις δύο ομάδες ήταν η αρθραλγία, ο πόνος στη μέση, η υπέρταση και η ρινοφαρυγγίτιδα.</w:t>
      </w:r>
    </w:p>
    <w:p w:rsidR="00AD2A71" w:rsidRPr="00B01ADB" w:rsidRDefault="00AD2A71" w:rsidP="00AD2A71">
      <w:pPr>
        <w:pStyle w:val="Style3"/>
        <w:widowControl/>
        <w:numPr>
          <w:ilvl w:val="0"/>
          <w:numId w:val="1"/>
        </w:numPr>
        <w:spacing w:before="220" w:after="120" w:line="220" w:lineRule="exact"/>
        <w:ind w:left="714" w:hanging="357"/>
        <w:jc w:val="both"/>
        <w:rPr>
          <w:rFonts w:ascii="Segoe UI" w:hAnsi="Segoe UI" w:cs="Segoe UI"/>
          <w:color w:val="000000"/>
          <w:sz w:val="20"/>
          <w:szCs w:val="20"/>
        </w:rPr>
      </w:pPr>
      <w:r w:rsidRPr="00B01ADB">
        <w:rPr>
          <w:rFonts w:ascii="Segoe UI" w:hAnsi="Segoe UI" w:cs="Segoe UI"/>
          <w:color w:val="000000"/>
          <w:sz w:val="20"/>
          <w:szCs w:val="20"/>
        </w:rPr>
        <w:t xml:space="preserve">Δεν αναφέρθηκαν περιστατικά </w:t>
      </w:r>
      <w:proofErr w:type="spellStart"/>
      <w:r w:rsidRPr="00B01ADB">
        <w:rPr>
          <w:rFonts w:ascii="Segoe UI" w:hAnsi="Segoe UI" w:cs="Segoe UI"/>
          <w:color w:val="000000"/>
          <w:sz w:val="20"/>
          <w:szCs w:val="20"/>
        </w:rPr>
        <w:t>οστεονέκρωσης</w:t>
      </w:r>
      <w:proofErr w:type="spellEnd"/>
      <w:r w:rsidRPr="00B01ADB">
        <w:rPr>
          <w:rFonts w:ascii="Segoe UI" w:hAnsi="Segoe UI" w:cs="Segoe UI"/>
          <w:color w:val="000000"/>
          <w:sz w:val="20"/>
          <w:szCs w:val="20"/>
        </w:rPr>
        <w:t xml:space="preserve"> της γνάθου στους ασθενείς που έλαβαν το </w:t>
      </w:r>
      <w:proofErr w:type="spellStart"/>
      <w:r w:rsidRPr="00B01ADB">
        <w:rPr>
          <w:rFonts w:ascii="Segoe UI" w:hAnsi="Segoe UI" w:cs="Segoe UI"/>
          <w:color w:val="000000"/>
          <w:sz w:val="20"/>
          <w:szCs w:val="20"/>
        </w:rPr>
        <w:t>denosumab</w:t>
      </w:r>
      <w:proofErr w:type="spellEnd"/>
      <w:r w:rsidRPr="00B01ADB">
        <w:rPr>
          <w:rFonts w:ascii="Segoe UI" w:hAnsi="Segoe UI" w:cs="Segoe UI"/>
          <w:color w:val="000000"/>
          <w:sz w:val="20"/>
          <w:szCs w:val="20"/>
        </w:rPr>
        <w:t>.</w:t>
      </w:r>
    </w:p>
    <w:p w:rsidR="00AD2A71" w:rsidRPr="00B01ADB" w:rsidRDefault="00AD2A71" w:rsidP="00AD2A71">
      <w:pPr>
        <w:pStyle w:val="Style3"/>
        <w:widowControl/>
        <w:numPr>
          <w:ilvl w:val="0"/>
          <w:numId w:val="1"/>
        </w:numPr>
        <w:spacing w:before="220" w:after="120" w:line="220" w:lineRule="exact"/>
        <w:ind w:left="714" w:hanging="357"/>
        <w:jc w:val="both"/>
        <w:rPr>
          <w:rFonts w:ascii="Segoe UI" w:hAnsi="Segoe UI" w:cs="Segoe UI"/>
          <w:color w:val="000000"/>
          <w:sz w:val="20"/>
          <w:szCs w:val="20"/>
        </w:rPr>
      </w:pPr>
      <w:r w:rsidRPr="00B01ADB">
        <w:rPr>
          <w:rFonts w:ascii="Segoe UI" w:hAnsi="Segoe UI" w:cs="Segoe UI"/>
          <w:sz w:val="20"/>
          <w:szCs w:val="20"/>
        </w:rPr>
        <w:t xml:space="preserve">Λοιμώξεις που αναφέρθηκαν ως σοβαρά ανεπιθύμητα </w:t>
      </w:r>
      <w:proofErr w:type="spellStart"/>
      <w:r w:rsidRPr="00B01ADB">
        <w:rPr>
          <w:rFonts w:ascii="Segoe UI" w:hAnsi="Segoe UI" w:cs="Segoe UI"/>
          <w:sz w:val="20"/>
          <w:szCs w:val="20"/>
        </w:rPr>
        <w:t>συμβάματα</w:t>
      </w:r>
      <w:proofErr w:type="spellEnd"/>
      <w:r w:rsidRPr="00B01ADB">
        <w:rPr>
          <w:rFonts w:ascii="Segoe UI" w:hAnsi="Segoe UI" w:cs="Segoe UI"/>
          <w:sz w:val="20"/>
          <w:szCs w:val="20"/>
        </w:rPr>
        <w:t xml:space="preserve"> ήταν σημαντικά υψηλότερα στην ομάδα του </w:t>
      </w:r>
      <w:proofErr w:type="spellStart"/>
      <w:r w:rsidRPr="00B01ADB">
        <w:rPr>
          <w:rStyle w:val="A4"/>
          <w:rFonts w:ascii="Segoe UI" w:hAnsi="Segoe UI" w:cs="Segoe UI"/>
          <w:sz w:val="20"/>
          <w:szCs w:val="20"/>
          <w:lang w:val="en-US"/>
        </w:rPr>
        <w:t>denosumab</w:t>
      </w:r>
      <w:proofErr w:type="spellEnd"/>
      <w:r w:rsidRPr="00B01ADB">
        <w:rPr>
          <w:rStyle w:val="A4"/>
          <w:rFonts w:ascii="Segoe UI" w:hAnsi="Segoe UI" w:cs="Segoe UI"/>
          <w:sz w:val="20"/>
          <w:szCs w:val="20"/>
        </w:rPr>
        <w:t xml:space="preserve"> (0.4% έναντι  &lt;0.1%);</w:t>
      </w:r>
      <w:r>
        <w:rPr>
          <w:rStyle w:val="A4"/>
          <w:rFonts w:ascii="Segoe UI" w:hAnsi="Segoe UI" w:cs="Segoe UI"/>
          <w:sz w:val="20"/>
          <w:szCs w:val="20"/>
        </w:rPr>
        <w:t xml:space="preserve"> </w:t>
      </w:r>
      <w:r w:rsidRPr="00B01ADB">
        <w:rPr>
          <w:rStyle w:val="A4"/>
          <w:rFonts w:ascii="Segoe UI" w:hAnsi="Segoe UI" w:cs="Segoe UI"/>
          <w:sz w:val="20"/>
          <w:szCs w:val="20"/>
        </w:rPr>
        <w:t>στα</w:t>
      </w:r>
      <w:r>
        <w:rPr>
          <w:rStyle w:val="A4"/>
          <w:rFonts w:ascii="Segoe UI" w:hAnsi="Segoe UI" w:cs="Segoe UI"/>
          <w:sz w:val="20"/>
          <w:szCs w:val="20"/>
        </w:rPr>
        <w:t xml:space="preserve"> </w:t>
      </w:r>
      <w:proofErr w:type="spellStart"/>
      <w:r>
        <w:rPr>
          <w:rStyle w:val="A4"/>
          <w:rFonts w:ascii="Segoe UI" w:hAnsi="Segoe UI" w:cs="Segoe UI"/>
          <w:sz w:val="20"/>
          <w:szCs w:val="20"/>
        </w:rPr>
        <w:t>συμβάματα</w:t>
      </w:r>
      <w:proofErr w:type="spellEnd"/>
      <w:r>
        <w:rPr>
          <w:rStyle w:val="A4"/>
          <w:rFonts w:ascii="Segoe UI" w:hAnsi="Segoe UI" w:cs="Segoe UI"/>
          <w:sz w:val="20"/>
          <w:szCs w:val="20"/>
        </w:rPr>
        <w:t xml:space="preserve"> αυτά περι</w:t>
      </w:r>
      <w:r w:rsidRPr="00B01ADB">
        <w:rPr>
          <w:rStyle w:val="A4"/>
          <w:rFonts w:ascii="Segoe UI" w:hAnsi="Segoe UI" w:cs="Segoe UI"/>
          <w:sz w:val="20"/>
          <w:szCs w:val="20"/>
        </w:rPr>
        <w:t>λαμβάνεται η κυτταρίτιδα.</w:t>
      </w:r>
    </w:p>
    <w:p w:rsidR="00AD2A71" w:rsidRPr="00B01ADB" w:rsidRDefault="00AD2A71" w:rsidP="00AD2A71">
      <w:pPr>
        <w:pStyle w:val="Style3"/>
        <w:widowControl/>
        <w:spacing w:before="220" w:line="220" w:lineRule="exact"/>
        <w:rPr>
          <w:color w:val="000000"/>
          <w:sz w:val="20"/>
          <w:szCs w:val="20"/>
        </w:rPr>
      </w:pPr>
    </w:p>
    <w:p w:rsidR="00AD2A71" w:rsidRPr="00B01ADB" w:rsidRDefault="00AD2A71" w:rsidP="00AD2A71">
      <w:pPr>
        <w:pStyle w:val="Style3"/>
        <w:widowControl/>
        <w:spacing w:before="220" w:line="220" w:lineRule="exact"/>
        <w:rPr>
          <w:color w:val="000000"/>
          <w:sz w:val="20"/>
          <w:szCs w:val="20"/>
        </w:rPr>
      </w:pPr>
    </w:p>
    <w:p w:rsidR="00AD2A71" w:rsidRPr="00C63378" w:rsidRDefault="00AD2A71" w:rsidP="00AD2A71">
      <w:pPr>
        <w:pStyle w:val="Style3"/>
        <w:widowControl/>
        <w:tabs>
          <w:tab w:val="left" w:pos="2799"/>
        </w:tabs>
        <w:spacing w:before="220" w:line="220" w:lineRule="exact"/>
        <w:rPr>
          <w:color w:val="000000"/>
          <w:sz w:val="20"/>
          <w:szCs w:val="20"/>
        </w:rPr>
      </w:pPr>
    </w:p>
    <w:p w:rsidR="00AD2A71" w:rsidRPr="00C63378" w:rsidRDefault="00AD2A71" w:rsidP="00AD2A71">
      <w:pPr>
        <w:pStyle w:val="Style3"/>
        <w:widowControl/>
        <w:tabs>
          <w:tab w:val="left" w:pos="2799"/>
        </w:tabs>
        <w:spacing w:before="220" w:line="220" w:lineRule="exact"/>
        <w:rPr>
          <w:color w:val="000000"/>
          <w:sz w:val="20"/>
          <w:szCs w:val="20"/>
        </w:rPr>
      </w:pPr>
    </w:p>
    <w:p w:rsidR="00AD2A71" w:rsidRPr="00C63378" w:rsidRDefault="00AD2A71" w:rsidP="00AD2A71">
      <w:pPr>
        <w:pStyle w:val="Style3"/>
        <w:widowControl/>
        <w:tabs>
          <w:tab w:val="left" w:pos="2799"/>
        </w:tabs>
        <w:spacing w:before="220" w:line="220" w:lineRule="exact"/>
        <w:rPr>
          <w:color w:val="000000"/>
          <w:sz w:val="20"/>
          <w:szCs w:val="20"/>
        </w:rPr>
      </w:pPr>
    </w:p>
    <w:p w:rsidR="00AD2A71" w:rsidRPr="00C63378" w:rsidRDefault="00AD2A71" w:rsidP="00AD2A71">
      <w:pPr>
        <w:pStyle w:val="Style3"/>
        <w:widowControl/>
        <w:tabs>
          <w:tab w:val="left" w:pos="2799"/>
        </w:tabs>
        <w:spacing w:before="220" w:line="220" w:lineRule="exact"/>
        <w:rPr>
          <w:color w:val="000000"/>
          <w:sz w:val="20"/>
          <w:szCs w:val="20"/>
        </w:rPr>
      </w:pPr>
    </w:p>
    <w:p w:rsidR="00AD2A71" w:rsidRDefault="00AD2A71" w:rsidP="00AD2A71">
      <w:pPr>
        <w:pStyle w:val="Style3"/>
        <w:widowControl/>
        <w:tabs>
          <w:tab w:val="left" w:pos="2799"/>
        </w:tabs>
        <w:spacing w:before="220" w:line="220" w:lineRule="exact"/>
        <w:rPr>
          <w:color w:val="000000"/>
          <w:sz w:val="20"/>
          <w:szCs w:val="20"/>
        </w:rPr>
      </w:pPr>
    </w:p>
    <w:p w:rsidR="00D93516" w:rsidRDefault="00D93516" w:rsidP="00AD2A71">
      <w:pPr>
        <w:pStyle w:val="Style3"/>
        <w:widowControl/>
        <w:tabs>
          <w:tab w:val="left" w:pos="2799"/>
        </w:tabs>
        <w:spacing w:before="220" w:line="220" w:lineRule="exact"/>
        <w:rPr>
          <w:color w:val="000000"/>
          <w:sz w:val="20"/>
          <w:szCs w:val="20"/>
        </w:rPr>
      </w:pPr>
    </w:p>
    <w:p w:rsidR="00D93516" w:rsidRDefault="00D93516" w:rsidP="00AD2A71">
      <w:pPr>
        <w:pStyle w:val="Style3"/>
        <w:widowControl/>
        <w:tabs>
          <w:tab w:val="left" w:pos="2799"/>
        </w:tabs>
        <w:spacing w:before="220" w:line="220" w:lineRule="exact"/>
        <w:rPr>
          <w:color w:val="000000"/>
          <w:sz w:val="20"/>
          <w:szCs w:val="20"/>
        </w:rPr>
      </w:pPr>
    </w:p>
    <w:p w:rsidR="00AD2A71" w:rsidRPr="00C63378" w:rsidRDefault="00AD2A71" w:rsidP="00AD2A71">
      <w:pPr>
        <w:pStyle w:val="Style3"/>
        <w:widowControl/>
        <w:tabs>
          <w:tab w:val="left" w:pos="2799"/>
        </w:tabs>
        <w:spacing w:before="220" w:line="220" w:lineRule="exact"/>
        <w:rPr>
          <w:color w:val="000000"/>
          <w:sz w:val="20"/>
          <w:szCs w:val="20"/>
        </w:rPr>
      </w:pPr>
    </w:p>
    <w:p w:rsidR="00AD2A71" w:rsidRPr="00941C1D" w:rsidRDefault="00AD2A71" w:rsidP="00AD2A71">
      <w:pPr>
        <w:pStyle w:val="Style3"/>
        <w:widowControl/>
        <w:tabs>
          <w:tab w:val="left" w:pos="2799"/>
        </w:tabs>
        <w:spacing w:before="220" w:line="220" w:lineRule="exact"/>
        <w:rPr>
          <w:color w:val="000000"/>
          <w:sz w:val="20"/>
          <w:szCs w:val="20"/>
        </w:rPr>
      </w:pPr>
      <w:r w:rsidRPr="00B01ADB">
        <w:rPr>
          <w:b/>
          <w:color w:val="0063C3"/>
          <w:sz w:val="20"/>
        </w:rPr>
        <w:lastRenderedPageBreak/>
        <w:tab/>
      </w:r>
      <w:r w:rsidRPr="00B01ADB">
        <w:rPr>
          <w:b/>
          <w:color w:val="0063C3"/>
          <w:sz w:val="20"/>
        </w:rPr>
        <w:tab/>
      </w:r>
      <w:r>
        <w:rPr>
          <w:b/>
          <w:color w:val="0063C3"/>
          <w:sz w:val="20"/>
        </w:rPr>
        <w:t>Στόχοι</w:t>
      </w:r>
      <w:r w:rsidRPr="00D904C3">
        <w:rPr>
          <w:color w:val="000000"/>
          <w:sz w:val="20"/>
          <w:szCs w:val="20"/>
        </w:rPr>
        <w:t xml:space="preserve">                           </w:t>
      </w:r>
      <w:r w:rsidRPr="00941C1D">
        <w:rPr>
          <w:color w:val="000000"/>
          <w:sz w:val="20"/>
          <w:szCs w:val="20"/>
        </w:rPr>
        <w:t xml:space="preserve">  </w:t>
      </w:r>
      <w:r>
        <w:rPr>
          <w:color w:val="000000"/>
          <w:sz w:val="20"/>
          <w:szCs w:val="20"/>
        </w:rPr>
        <w:t xml:space="preserve">         </w:t>
      </w:r>
      <w:r w:rsidRPr="00941C1D">
        <w:rPr>
          <w:b/>
          <w:color w:val="0063C3"/>
          <w:sz w:val="20"/>
        </w:rPr>
        <w:t>Αποτελέσματα</w:t>
      </w:r>
    </w:p>
    <w:tbl>
      <w:tblPr>
        <w:tblpPr w:leftFromText="180" w:rightFromText="180" w:vertAnchor="text" w:horzAnchor="margin" w:tblpY="296"/>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7"/>
        <w:gridCol w:w="2808"/>
        <w:gridCol w:w="3737"/>
      </w:tblGrid>
      <w:tr w:rsidR="00AD2A71" w:rsidRPr="00D904C3" w:rsidTr="00AD5B5D">
        <w:trPr>
          <w:trHeight w:val="1519"/>
        </w:trPr>
        <w:tc>
          <w:tcPr>
            <w:tcW w:w="2807" w:type="dxa"/>
          </w:tcPr>
          <w:p w:rsidR="00AD2A71" w:rsidRPr="007D257D" w:rsidRDefault="00AD2A71" w:rsidP="00AD5B5D">
            <w:pPr>
              <w:pStyle w:val="Style3"/>
              <w:widowControl/>
              <w:spacing w:before="220" w:line="220" w:lineRule="exact"/>
              <w:rPr>
                <w:color w:val="000000"/>
                <w:sz w:val="20"/>
                <w:szCs w:val="20"/>
              </w:rPr>
            </w:pPr>
            <w:r>
              <w:rPr>
                <w:b/>
                <w:color w:val="0063C3"/>
                <w:sz w:val="20"/>
              </w:rPr>
              <w:t>Πρωτεύον τελικό σημείο</w:t>
            </w:r>
          </w:p>
        </w:tc>
        <w:tc>
          <w:tcPr>
            <w:tcW w:w="2808" w:type="dxa"/>
          </w:tcPr>
          <w:p w:rsidR="00AD2A71" w:rsidRPr="007D257D" w:rsidRDefault="00AD2A71" w:rsidP="00AD5B5D">
            <w:pPr>
              <w:pStyle w:val="Style3"/>
              <w:widowControl/>
              <w:spacing w:before="220" w:line="220" w:lineRule="exact"/>
              <w:rPr>
                <w:color w:val="000000"/>
                <w:sz w:val="20"/>
                <w:szCs w:val="20"/>
              </w:rPr>
            </w:pPr>
            <w:r w:rsidRPr="007D257D">
              <w:rPr>
                <w:color w:val="000000"/>
                <w:sz w:val="20"/>
                <w:szCs w:val="20"/>
              </w:rPr>
              <w:t xml:space="preserve">Να διαπιστωθεί αν το </w:t>
            </w:r>
            <w:proofErr w:type="spellStart"/>
            <w:r w:rsidRPr="007D257D">
              <w:rPr>
                <w:color w:val="000000"/>
                <w:sz w:val="20"/>
                <w:szCs w:val="20"/>
              </w:rPr>
              <w:t>denosumab</w:t>
            </w:r>
            <w:proofErr w:type="spellEnd"/>
            <w:r w:rsidRPr="007D257D">
              <w:rPr>
                <w:color w:val="000000"/>
                <w:sz w:val="20"/>
                <w:szCs w:val="20"/>
              </w:rPr>
              <w:t xml:space="preserve"> μπορεί να μειώσει τον αριθμό των </w:t>
            </w:r>
            <w:proofErr w:type="spellStart"/>
            <w:r w:rsidRPr="007D257D">
              <w:rPr>
                <w:color w:val="000000"/>
                <w:sz w:val="20"/>
                <w:szCs w:val="20"/>
              </w:rPr>
              <w:t>μετεμμηνοπαυσιακών</w:t>
            </w:r>
            <w:proofErr w:type="spellEnd"/>
            <w:r w:rsidRPr="007D257D">
              <w:rPr>
                <w:color w:val="000000"/>
                <w:sz w:val="20"/>
                <w:szCs w:val="20"/>
              </w:rPr>
              <w:t xml:space="preserve"> γυναικών με οστεοπόρωση </w:t>
            </w:r>
            <w:r>
              <w:rPr>
                <w:color w:val="000000"/>
                <w:sz w:val="20"/>
                <w:szCs w:val="20"/>
              </w:rPr>
              <w:t>που υφίστανται</w:t>
            </w:r>
            <w:r w:rsidRPr="007D257D">
              <w:rPr>
                <w:color w:val="000000"/>
                <w:sz w:val="20"/>
                <w:szCs w:val="20"/>
              </w:rPr>
              <w:t xml:space="preserve"> νέα κατάγματα σπονδυλικής στήλης στους 36 μήνες.</w:t>
            </w:r>
          </w:p>
        </w:tc>
        <w:tc>
          <w:tcPr>
            <w:tcW w:w="3737" w:type="dxa"/>
          </w:tcPr>
          <w:p w:rsidR="00AD2A71" w:rsidRPr="00D904C3" w:rsidRDefault="00AD2A71" w:rsidP="00AD5B5D">
            <w:pPr>
              <w:pStyle w:val="Style3"/>
              <w:widowControl/>
              <w:spacing w:before="220" w:line="220" w:lineRule="exact"/>
              <w:rPr>
                <w:color w:val="000000"/>
                <w:sz w:val="20"/>
                <w:szCs w:val="20"/>
              </w:rPr>
            </w:pPr>
            <w:r>
              <w:rPr>
                <w:color w:val="000000"/>
                <w:sz w:val="20"/>
                <w:szCs w:val="20"/>
              </w:rPr>
              <w:t>Στους 36 μήνες, οι γ</w:t>
            </w:r>
            <w:r w:rsidRPr="007D257D">
              <w:rPr>
                <w:color w:val="000000"/>
                <w:sz w:val="20"/>
                <w:szCs w:val="20"/>
              </w:rPr>
              <w:t xml:space="preserve">υναίκες που </w:t>
            </w:r>
            <w:r>
              <w:rPr>
                <w:color w:val="000000"/>
                <w:sz w:val="20"/>
                <w:szCs w:val="20"/>
              </w:rPr>
              <w:t>έλαβαν</w:t>
            </w:r>
            <w:r w:rsidRPr="007D257D">
              <w:rPr>
                <w:color w:val="000000"/>
                <w:sz w:val="20"/>
                <w:szCs w:val="20"/>
              </w:rPr>
              <w:t xml:space="preserve"> </w:t>
            </w:r>
            <w:proofErr w:type="spellStart"/>
            <w:r w:rsidRPr="007D257D">
              <w:rPr>
                <w:color w:val="000000"/>
                <w:sz w:val="20"/>
                <w:szCs w:val="20"/>
              </w:rPr>
              <w:t>denosumab</w:t>
            </w:r>
            <w:proofErr w:type="spellEnd"/>
            <w:r w:rsidRPr="007D257D">
              <w:rPr>
                <w:color w:val="000000"/>
                <w:sz w:val="20"/>
                <w:szCs w:val="20"/>
              </w:rPr>
              <w:t xml:space="preserve">, εμφάνισαν μείωση </w:t>
            </w:r>
            <w:r>
              <w:rPr>
                <w:color w:val="000000"/>
                <w:sz w:val="20"/>
                <w:szCs w:val="20"/>
              </w:rPr>
              <w:t xml:space="preserve">της συχνότητας </w:t>
            </w:r>
            <w:r w:rsidRPr="007D257D">
              <w:rPr>
                <w:color w:val="000000"/>
                <w:sz w:val="20"/>
                <w:szCs w:val="20"/>
              </w:rPr>
              <w:t xml:space="preserve"> εμφάνισης </w:t>
            </w:r>
            <w:r>
              <w:rPr>
                <w:color w:val="000000"/>
                <w:sz w:val="20"/>
                <w:szCs w:val="20"/>
              </w:rPr>
              <w:t>νέων σπονδυλικών καταγμάτων</w:t>
            </w:r>
            <w:r w:rsidRPr="007D257D">
              <w:rPr>
                <w:color w:val="000000"/>
                <w:sz w:val="20"/>
                <w:szCs w:val="20"/>
              </w:rPr>
              <w:t xml:space="preserve"> κατά 68% σε σύγκριση με όσες έλαβαν εικονικό φάρμακο</w:t>
            </w:r>
            <w:r>
              <w:rPr>
                <w:color w:val="000000"/>
                <w:sz w:val="20"/>
                <w:szCs w:val="20"/>
              </w:rPr>
              <w:t>.</w:t>
            </w:r>
          </w:p>
        </w:tc>
      </w:tr>
      <w:tr w:rsidR="00AD2A71" w:rsidRPr="00D904C3" w:rsidTr="00AD5B5D">
        <w:trPr>
          <w:trHeight w:val="565"/>
        </w:trPr>
        <w:tc>
          <w:tcPr>
            <w:tcW w:w="2807" w:type="dxa"/>
          </w:tcPr>
          <w:p w:rsidR="00AD2A71" w:rsidRPr="00D904C3" w:rsidRDefault="00AD2A71" w:rsidP="00AD5B5D">
            <w:pPr>
              <w:pStyle w:val="Style3"/>
              <w:widowControl/>
              <w:spacing w:before="220" w:line="220" w:lineRule="exact"/>
              <w:rPr>
                <w:color w:val="000000"/>
                <w:sz w:val="20"/>
                <w:szCs w:val="20"/>
              </w:rPr>
            </w:pPr>
            <w:r w:rsidRPr="007D257D">
              <w:rPr>
                <w:b/>
                <w:color w:val="0063C3"/>
                <w:sz w:val="20"/>
              </w:rPr>
              <w:t>Δευτερεύον</w:t>
            </w:r>
            <w:r>
              <w:rPr>
                <w:b/>
                <w:color w:val="0063C3"/>
                <w:sz w:val="20"/>
              </w:rPr>
              <w:t xml:space="preserve"> τελικό σημείο </w:t>
            </w:r>
          </w:p>
        </w:tc>
        <w:tc>
          <w:tcPr>
            <w:tcW w:w="2808" w:type="dxa"/>
          </w:tcPr>
          <w:p w:rsidR="00AD2A71" w:rsidRPr="007D257D" w:rsidRDefault="00AD2A71" w:rsidP="00AD5B5D">
            <w:pPr>
              <w:pStyle w:val="Style3"/>
              <w:widowControl/>
              <w:spacing w:before="220" w:line="220" w:lineRule="exact"/>
              <w:rPr>
                <w:color w:val="000000"/>
                <w:sz w:val="20"/>
                <w:szCs w:val="20"/>
              </w:rPr>
            </w:pPr>
            <w:r w:rsidRPr="007D257D">
              <w:rPr>
                <w:color w:val="000000"/>
                <w:sz w:val="20"/>
                <w:szCs w:val="20"/>
              </w:rPr>
              <w:t xml:space="preserve">1. Να αξιολογηθεί η επίδραση του </w:t>
            </w:r>
            <w:proofErr w:type="spellStart"/>
            <w:r w:rsidRPr="007D257D">
              <w:rPr>
                <w:color w:val="000000"/>
                <w:sz w:val="20"/>
                <w:szCs w:val="20"/>
              </w:rPr>
              <w:t>denosumab</w:t>
            </w:r>
            <w:proofErr w:type="spellEnd"/>
            <w:r w:rsidRPr="007D257D">
              <w:rPr>
                <w:color w:val="000000"/>
                <w:sz w:val="20"/>
                <w:szCs w:val="20"/>
              </w:rPr>
              <w:t xml:space="preserve"> </w:t>
            </w:r>
            <w:r>
              <w:rPr>
                <w:color w:val="000000"/>
                <w:sz w:val="20"/>
                <w:szCs w:val="20"/>
              </w:rPr>
              <w:t>στο</w:t>
            </w:r>
            <w:r w:rsidR="00D93516">
              <w:rPr>
                <w:color w:val="000000"/>
                <w:sz w:val="20"/>
                <w:szCs w:val="20"/>
              </w:rPr>
              <w:t>ν</w:t>
            </w:r>
            <w:r>
              <w:rPr>
                <w:color w:val="000000"/>
                <w:sz w:val="20"/>
                <w:szCs w:val="20"/>
              </w:rPr>
              <w:t xml:space="preserve"> χρόνο έως το πρώτο μη σπονδυλικό κάταγμα.</w:t>
            </w:r>
          </w:p>
          <w:p w:rsidR="00AD2A71" w:rsidRPr="00D904C3" w:rsidRDefault="00AD2A71" w:rsidP="00AD5B5D">
            <w:pPr>
              <w:pStyle w:val="Style3"/>
              <w:widowControl/>
              <w:spacing w:before="220" w:line="220" w:lineRule="exact"/>
              <w:rPr>
                <w:color w:val="000000"/>
                <w:sz w:val="20"/>
                <w:szCs w:val="20"/>
              </w:rPr>
            </w:pPr>
            <w:r w:rsidRPr="007D257D">
              <w:rPr>
                <w:color w:val="000000"/>
                <w:sz w:val="20"/>
                <w:szCs w:val="20"/>
              </w:rPr>
              <w:t xml:space="preserve">2. Να αξιολογηθεί η επίδραση του </w:t>
            </w:r>
            <w:proofErr w:type="spellStart"/>
            <w:r w:rsidRPr="007D257D">
              <w:rPr>
                <w:color w:val="000000"/>
                <w:sz w:val="20"/>
                <w:szCs w:val="20"/>
              </w:rPr>
              <w:t>denosumab</w:t>
            </w:r>
            <w:proofErr w:type="spellEnd"/>
            <w:r w:rsidRPr="007D257D">
              <w:rPr>
                <w:color w:val="000000"/>
                <w:sz w:val="20"/>
                <w:szCs w:val="20"/>
              </w:rPr>
              <w:t xml:space="preserve"> </w:t>
            </w:r>
            <w:r>
              <w:rPr>
                <w:color w:val="000000"/>
                <w:sz w:val="20"/>
                <w:szCs w:val="20"/>
              </w:rPr>
              <w:t>στο</w:t>
            </w:r>
            <w:r w:rsidR="00D93516">
              <w:rPr>
                <w:color w:val="000000"/>
                <w:sz w:val="20"/>
                <w:szCs w:val="20"/>
              </w:rPr>
              <w:t>ν</w:t>
            </w:r>
            <w:r>
              <w:rPr>
                <w:color w:val="000000"/>
                <w:sz w:val="20"/>
                <w:szCs w:val="20"/>
              </w:rPr>
              <w:t xml:space="preserve"> χρόνο έως το πρώτο κάταγμα ισχίου</w:t>
            </w:r>
            <w:r w:rsidRPr="007D257D">
              <w:rPr>
                <w:color w:val="000000"/>
                <w:sz w:val="20"/>
                <w:szCs w:val="20"/>
              </w:rPr>
              <w:t>.</w:t>
            </w:r>
          </w:p>
        </w:tc>
        <w:tc>
          <w:tcPr>
            <w:tcW w:w="3737" w:type="dxa"/>
          </w:tcPr>
          <w:p w:rsidR="00AD2A71" w:rsidRPr="007D257D" w:rsidRDefault="00AD2A71" w:rsidP="00AD5B5D">
            <w:pPr>
              <w:pStyle w:val="Style3"/>
              <w:widowControl/>
              <w:spacing w:before="220" w:line="220" w:lineRule="exact"/>
              <w:rPr>
                <w:color w:val="000000"/>
                <w:sz w:val="20"/>
                <w:szCs w:val="20"/>
              </w:rPr>
            </w:pPr>
            <w:r>
              <w:rPr>
                <w:color w:val="000000"/>
                <w:sz w:val="20"/>
                <w:szCs w:val="20"/>
              </w:rPr>
              <w:t>Στους 36 μήνες, οι γ</w:t>
            </w:r>
            <w:r w:rsidRPr="007D257D">
              <w:rPr>
                <w:color w:val="000000"/>
                <w:sz w:val="20"/>
                <w:szCs w:val="20"/>
              </w:rPr>
              <w:t xml:space="preserve">υναίκες που </w:t>
            </w:r>
            <w:r>
              <w:rPr>
                <w:color w:val="000000"/>
                <w:sz w:val="20"/>
                <w:szCs w:val="20"/>
              </w:rPr>
              <w:t>έλαβαν</w:t>
            </w:r>
            <w:r w:rsidRPr="007D257D">
              <w:rPr>
                <w:color w:val="000000"/>
                <w:sz w:val="20"/>
                <w:szCs w:val="20"/>
              </w:rPr>
              <w:t xml:space="preserve"> </w:t>
            </w:r>
            <w:proofErr w:type="spellStart"/>
            <w:r w:rsidRPr="007D257D">
              <w:rPr>
                <w:color w:val="000000"/>
                <w:sz w:val="20"/>
                <w:szCs w:val="20"/>
              </w:rPr>
              <w:t>denosumab</w:t>
            </w:r>
            <w:proofErr w:type="spellEnd"/>
            <w:r w:rsidRPr="007D257D">
              <w:rPr>
                <w:color w:val="000000"/>
                <w:sz w:val="20"/>
                <w:szCs w:val="20"/>
              </w:rPr>
              <w:t xml:space="preserve">, εμφάνισαν μείωση, </w:t>
            </w:r>
            <w:r>
              <w:rPr>
                <w:color w:val="000000"/>
                <w:sz w:val="20"/>
                <w:szCs w:val="20"/>
              </w:rPr>
              <w:t xml:space="preserve">της συχνότητας </w:t>
            </w:r>
            <w:r w:rsidRPr="007D257D">
              <w:rPr>
                <w:color w:val="000000"/>
                <w:sz w:val="20"/>
                <w:szCs w:val="20"/>
              </w:rPr>
              <w:t xml:space="preserve"> εμφάνισης </w:t>
            </w:r>
            <w:r>
              <w:rPr>
                <w:color w:val="000000"/>
                <w:sz w:val="20"/>
                <w:szCs w:val="20"/>
              </w:rPr>
              <w:t>μη σπονδυλικών καταγμάτων</w:t>
            </w:r>
            <w:r w:rsidR="00652D07" w:rsidRPr="00652D07">
              <w:rPr>
                <w:color w:val="000000"/>
                <w:sz w:val="20"/>
                <w:szCs w:val="20"/>
              </w:rPr>
              <w:t xml:space="preserve"> </w:t>
            </w:r>
            <w:r w:rsidRPr="007D257D">
              <w:rPr>
                <w:color w:val="000000"/>
                <w:sz w:val="20"/>
                <w:szCs w:val="20"/>
              </w:rPr>
              <w:t>κατά 20% σε σύγκριση με όσες έλαβαν εικονικό φάρμακο</w:t>
            </w:r>
            <w:r>
              <w:rPr>
                <w:color w:val="000000"/>
                <w:sz w:val="20"/>
                <w:szCs w:val="20"/>
              </w:rPr>
              <w:t>.</w:t>
            </w:r>
          </w:p>
          <w:p w:rsidR="00AD2A71" w:rsidRPr="00D904C3" w:rsidRDefault="00AD2A71" w:rsidP="00AD5B5D">
            <w:pPr>
              <w:pStyle w:val="Style3"/>
              <w:widowControl/>
              <w:spacing w:before="220" w:line="220" w:lineRule="exact"/>
              <w:rPr>
                <w:color w:val="000000"/>
                <w:sz w:val="20"/>
                <w:szCs w:val="20"/>
              </w:rPr>
            </w:pPr>
            <w:r>
              <w:rPr>
                <w:color w:val="000000"/>
                <w:sz w:val="20"/>
                <w:szCs w:val="20"/>
              </w:rPr>
              <w:t>Στους 36 μήνες, οι γ</w:t>
            </w:r>
            <w:r w:rsidRPr="007D257D">
              <w:rPr>
                <w:color w:val="000000"/>
                <w:sz w:val="20"/>
                <w:szCs w:val="20"/>
              </w:rPr>
              <w:t xml:space="preserve">υναίκες που </w:t>
            </w:r>
            <w:r>
              <w:rPr>
                <w:color w:val="000000"/>
                <w:sz w:val="20"/>
                <w:szCs w:val="20"/>
              </w:rPr>
              <w:t>έλαβαν</w:t>
            </w:r>
            <w:r w:rsidRPr="007D257D">
              <w:rPr>
                <w:color w:val="000000"/>
                <w:sz w:val="20"/>
                <w:szCs w:val="20"/>
              </w:rPr>
              <w:t xml:space="preserve"> </w:t>
            </w:r>
            <w:proofErr w:type="spellStart"/>
            <w:r w:rsidRPr="007D257D">
              <w:rPr>
                <w:color w:val="000000"/>
                <w:sz w:val="20"/>
                <w:szCs w:val="20"/>
              </w:rPr>
              <w:t>denosumab</w:t>
            </w:r>
            <w:proofErr w:type="spellEnd"/>
            <w:r w:rsidRPr="007D257D">
              <w:rPr>
                <w:color w:val="000000"/>
                <w:sz w:val="20"/>
                <w:szCs w:val="20"/>
              </w:rPr>
              <w:t>, εμφάνισαν μείωση</w:t>
            </w:r>
            <w:r w:rsidRPr="007D257D" w:rsidDel="00FF3975">
              <w:rPr>
                <w:color w:val="000000"/>
                <w:sz w:val="20"/>
                <w:szCs w:val="20"/>
              </w:rPr>
              <w:t xml:space="preserve"> </w:t>
            </w:r>
            <w:r>
              <w:rPr>
                <w:color w:val="000000"/>
                <w:sz w:val="20"/>
                <w:szCs w:val="20"/>
              </w:rPr>
              <w:t xml:space="preserve">της συχνότητας εμφάνισης </w:t>
            </w:r>
            <w:proofErr w:type="spellStart"/>
            <w:r w:rsidRPr="007D257D">
              <w:rPr>
                <w:color w:val="000000"/>
                <w:sz w:val="20"/>
                <w:szCs w:val="20"/>
              </w:rPr>
              <w:t>κατάγματ</w:t>
            </w:r>
            <w:r>
              <w:rPr>
                <w:color w:val="000000"/>
                <w:sz w:val="20"/>
                <w:szCs w:val="20"/>
              </w:rPr>
              <w:t>ων</w:t>
            </w:r>
            <w:proofErr w:type="spellEnd"/>
            <w:r w:rsidRPr="007D257D">
              <w:rPr>
                <w:color w:val="000000"/>
                <w:sz w:val="20"/>
                <w:szCs w:val="20"/>
              </w:rPr>
              <w:t xml:space="preserve"> ισχίου κατά 40% σε σύγκριση με όσες έλαβαν εικονικό φάρμακο.</w:t>
            </w:r>
          </w:p>
        </w:tc>
      </w:tr>
    </w:tbl>
    <w:p w:rsidR="00AD2A71" w:rsidRPr="007D257D" w:rsidRDefault="00AD2A71" w:rsidP="00AD2A71">
      <w:pPr>
        <w:pStyle w:val="Style3"/>
        <w:widowControl/>
        <w:spacing w:before="220" w:line="220" w:lineRule="exact"/>
        <w:rPr>
          <w:b/>
          <w:color w:val="0063C3"/>
          <w:sz w:val="20"/>
        </w:rPr>
      </w:pPr>
    </w:p>
    <w:p w:rsidR="00AD2A71" w:rsidRPr="00A365F1" w:rsidRDefault="00AD2A71" w:rsidP="00D93516">
      <w:pPr>
        <w:pStyle w:val="Style3"/>
        <w:widowControl/>
        <w:spacing w:before="220" w:line="220" w:lineRule="exact"/>
        <w:jc w:val="both"/>
        <w:outlineLvl w:val="0"/>
        <w:rPr>
          <w:b/>
          <w:color w:val="0063C3"/>
          <w:sz w:val="20"/>
          <w:szCs w:val="20"/>
        </w:rPr>
      </w:pPr>
      <w:r w:rsidRPr="00A365F1">
        <w:rPr>
          <w:b/>
          <w:color w:val="0063C3"/>
          <w:sz w:val="20"/>
          <w:szCs w:val="20"/>
        </w:rPr>
        <w:t xml:space="preserve">Προφίλ συμμετεχόντων στην </w:t>
      </w:r>
      <w:r>
        <w:rPr>
          <w:b/>
          <w:color w:val="0063C3"/>
          <w:sz w:val="20"/>
          <w:szCs w:val="20"/>
        </w:rPr>
        <w:t>μελέτη</w:t>
      </w:r>
    </w:p>
    <w:p w:rsidR="00AD2A71" w:rsidRPr="00A365F1" w:rsidRDefault="00AD2A71" w:rsidP="00D93516">
      <w:pPr>
        <w:pStyle w:val="Style3"/>
        <w:widowControl/>
        <w:spacing w:before="220" w:after="120" w:line="220" w:lineRule="exact"/>
        <w:jc w:val="both"/>
        <w:rPr>
          <w:i/>
          <w:color w:val="000000"/>
          <w:sz w:val="20"/>
          <w:szCs w:val="20"/>
        </w:rPr>
      </w:pPr>
      <w:r w:rsidRPr="00FF3975">
        <w:rPr>
          <w:color w:val="000000"/>
          <w:sz w:val="20"/>
          <w:szCs w:val="20"/>
        </w:rPr>
        <w:t>Βασικά κριτήρια εισαγωγ</w:t>
      </w:r>
      <w:r>
        <w:rPr>
          <w:color w:val="000000"/>
          <w:sz w:val="20"/>
          <w:szCs w:val="20"/>
        </w:rPr>
        <w:t>ή</w:t>
      </w:r>
      <w:r w:rsidRPr="00FF3975">
        <w:rPr>
          <w:color w:val="000000"/>
          <w:sz w:val="20"/>
          <w:szCs w:val="20"/>
        </w:rPr>
        <w:t>ς στη μελέτη</w:t>
      </w:r>
      <w:r>
        <w:rPr>
          <w:i/>
          <w:color w:val="000000"/>
          <w:sz w:val="20"/>
          <w:szCs w:val="20"/>
        </w:rPr>
        <w:t xml:space="preserve"> </w:t>
      </w:r>
      <w:r w:rsidRPr="00A365F1">
        <w:rPr>
          <w:i/>
          <w:color w:val="000000"/>
          <w:sz w:val="20"/>
          <w:szCs w:val="20"/>
        </w:rPr>
        <w:t xml:space="preserve"> :</w:t>
      </w:r>
    </w:p>
    <w:p w:rsidR="00AD2A71" w:rsidRPr="00A365F1" w:rsidRDefault="00AD2A71" w:rsidP="00D93516">
      <w:pPr>
        <w:pStyle w:val="Style3"/>
        <w:widowControl/>
        <w:spacing w:before="220" w:after="120" w:line="220" w:lineRule="exact"/>
        <w:jc w:val="both"/>
        <w:rPr>
          <w:color w:val="000000"/>
          <w:sz w:val="20"/>
          <w:szCs w:val="20"/>
        </w:rPr>
      </w:pPr>
      <w:proofErr w:type="spellStart"/>
      <w:r w:rsidRPr="00A365F1">
        <w:rPr>
          <w:color w:val="000000"/>
          <w:sz w:val="20"/>
          <w:szCs w:val="20"/>
        </w:rPr>
        <w:t>Μετεμμηνοπαυσιακές</w:t>
      </w:r>
      <w:proofErr w:type="spellEnd"/>
      <w:r w:rsidRPr="00A365F1">
        <w:rPr>
          <w:color w:val="000000"/>
          <w:sz w:val="20"/>
          <w:szCs w:val="20"/>
        </w:rPr>
        <w:t xml:space="preserve"> γυναίκες, ηλικίας 60 έως 90 ετών.</w:t>
      </w:r>
    </w:p>
    <w:p w:rsidR="00AD2A71" w:rsidRPr="00A365F1" w:rsidRDefault="00AD2A71" w:rsidP="00D93516">
      <w:pPr>
        <w:pStyle w:val="Style3"/>
        <w:widowControl/>
        <w:spacing w:before="220" w:after="120" w:line="220" w:lineRule="exact"/>
        <w:jc w:val="both"/>
        <w:rPr>
          <w:color w:val="000000"/>
          <w:sz w:val="20"/>
          <w:szCs w:val="20"/>
        </w:rPr>
      </w:pPr>
      <w:r>
        <w:rPr>
          <w:color w:val="000000"/>
          <w:sz w:val="20"/>
          <w:szCs w:val="20"/>
        </w:rPr>
        <w:t>Δ</w:t>
      </w:r>
      <w:r w:rsidRPr="00A365F1">
        <w:rPr>
          <w:color w:val="000000"/>
          <w:sz w:val="20"/>
          <w:szCs w:val="20"/>
        </w:rPr>
        <w:t>είκτης T-score οστικής πυκνότητας (BMD) στο ισχίο ή τη σπονδυλική στήλη μικρότερο</w:t>
      </w:r>
      <w:r>
        <w:rPr>
          <w:color w:val="000000"/>
          <w:sz w:val="20"/>
          <w:szCs w:val="20"/>
        </w:rPr>
        <w:t>ς</w:t>
      </w:r>
      <w:r w:rsidRPr="00A365F1">
        <w:rPr>
          <w:color w:val="000000"/>
          <w:sz w:val="20"/>
          <w:szCs w:val="20"/>
        </w:rPr>
        <w:t xml:space="preserve"> από –2,5.</w:t>
      </w:r>
    </w:p>
    <w:p w:rsidR="00AD2A71" w:rsidRPr="00A365F1" w:rsidRDefault="00AD2A71" w:rsidP="00D93516">
      <w:pPr>
        <w:pStyle w:val="Style3"/>
        <w:widowControl/>
        <w:spacing w:before="220" w:after="120" w:line="220" w:lineRule="exact"/>
        <w:jc w:val="both"/>
        <w:rPr>
          <w:color w:val="000000"/>
          <w:sz w:val="20"/>
          <w:szCs w:val="20"/>
        </w:rPr>
      </w:pPr>
      <w:r w:rsidRPr="00A365F1">
        <w:rPr>
          <w:color w:val="000000"/>
          <w:sz w:val="20"/>
          <w:szCs w:val="20"/>
        </w:rPr>
        <w:t xml:space="preserve">Γυναίκες με καλή κατάσταση υγείας, που δεν λαμβάνουν φαρμακευτική αγωγή που </w:t>
      </w:r>
      <w:r>
        <w:rPr>
          <w:color w:val="000000"/>
          <w:sz w:val="20"/>
          <w:szCs w:val="20"/>
        </w:rPr>
        <w:t>επηρεάζει</w:t>
      </w:r>
      <w:r w:rsidRPr="00A365F1">
        <w:rPr>
          <w:color w:val="000000"/>
          <w:sz w:val="20"/>
          <w:szCs w:val="20"/>
        </w:rPr>
        <w:t xml:space="preserve"> το</w:t>
      </w:r>
      <w:r w:rsidR="00005007">
        <w:rPr>
          <w:color w:val="000000"/>
          <w:sz w:val="20"/>
          <w:szCs w:val="20"/>
        </w:rPr>
        <w:t>ν</w:t>
      </w:r>
      <w:r w:rsidRPr="00A365F1">
        <w:rPr>
          <w:color w:val="000000"/>
          <w:sz w:val="20"/>
          <w:szCs w:val="20"/>
        </w:rPr>
        <w:t xml:space="preserve"> μεταβολισμό των οστών και δεν πάσχουν από υποκείμενη πάθηση, εκτός της οστεοπόρωσης που μπορεί να οδηγήσει σε μη φυσιολογικό μεταβολισμό οστών.</w:t>
      </w:r>
    </w:p>
    <w:p w:rsidR="00AD2A71" w:rsidRDefault="00AD2A71" w:rsidP="00D93516">
      <w:pPr>
        <w:pStyle w:val="Style3"/>
        <w:widowControl/>
        <w:spacing w:before="220" w:after="120" w:line="220" w:lineRule="exact"/>
        <w:jc w:val="both"/>
        <w:rPr>
          <w:color w:val="000000"/>
          <w:sz w:val="20"/>
          <w:szCs w:val="20"/>
        </w:rPr>
      </w:pPr>
      <w:r w:rsidRPr="00FF3975">
        <w:rPr>
          <w:color w:val="000000"/>
          <w:sz w:val="20"/>
          <w:szCs w:val="20"/>
        </w:rPr>
        <w:t xml:space="preserve">Βασικά κριτήρια </w:t>
      </w:r>
      <w:r>
        <w:rPr>
          <w:color w:val="000000"/>
          <w:sz w:val="20"/>
          <w:szCs w:val="20"/>
        </w:rPr>
        <w:t xml:space="preserve">αποκλεισμού από </w:t>
      </w:r>
      <w:r w:rsidRPr="00FF3975">
        <w:rPr>
          <w:color w:val="000000"/>
          <w:sz w:val="20"/>
          <w:szCs w:val="20"/>
        </w:rPr>
        <w:t>τη μελέτη</w:t>
      </w:r>
      <w:r w:rsidRPr="00B01ADB">
        <w:rPr>
          <w:color w:val="000000"/>
          <w:sz w:val="20"/>
          <w:szCs w:val="20"/>
        </w:rPr>
        <w:t>:</w:t>
      </w:r>
    </w:p>
    <w:p w:rsidR="00AD2A71" w:rsidRPr="00A365F1" w:rsidRDefault="00AD2A71" w:rsidP="00D93516">
      <w:pPr>
        <w:pStyle w:val="Style3"/>
        <w:widowControl/>
        <w:spacing w:before="220" w:after="120" w:line="220" w:lineRule="exact"/>
        <w:jc w:val="both"/>
        <w:rPr>
          <w:color w:val="000000"/>
          <w:sz w:val="20"/>
          <w:szCs w:val="20"/>
        </w:rPr>
      </w:pPr>
      <w:r>
        <w:rPr>
          <w:color w:val="000000"/>
          <w:sz w:val="20"/>
          <w:szCs w:val="20"/>
        </w:rPr>
        <w:t>Δ</w:t>
      </w:r>
      <w:r w:rsidRPr="00A365F1">
        <w:rPr>
          <w:color w:val="000000"/>
          <w:sz w:val="20"/>
          <w:szCs w:val="20"/>
        </w:rPr>
        <w:t>είκτης Τ-score (BMD) στο ισχίο ή τη σπονδυλική στήλη μικρότερο</w:t>
      </w:r>
      <w:r>
        <w:rPr>
          <w:color w:val="000000"/>
          <w:sz w:val="20"/>
          <w:szCs w:val="20"/>
        </w:rPr>
        <w:t>ς</w:t>
      </w:r>
      <w:r w:rsidRPr="00A365F1">
        <w:rPr>
          <w:color w:val="000000"/>
          <w:sz w:val="20"/>
          <w:szCs w:val="20"/>
        </w:rPr>
        <w:t xml:space="preserve"> από –4.0</w:t>
      </w:r>
    </w:p>
    <w:p w:rsidR="00AD2A71" w:rsidRPr="00A365F1" w:rsidRDefault="00AD2A71" w:rsidP="00D93516">
      <w:pPr>
        <w:pStyle w:val="Style3"/>
        <w:widowControl/>
        <w:spacing w:before="220" w:after="120" w:line="220" w:lineRule="exact"/>
        <w:jc w:val="both"/>
        <w:rPr>
          <w:color w:val="000000"/>
          <w:sz w:val="20"/>
          <w:szCs w:val="20"/>
        </w:rPr>
      </w:pPr>
      <w:r w:rsidRPr="00A365F1">
        <w:rPr>
          <w:color w:val="000000"/>
          <w:sz w:val="20"/>
          <w:szCs w:val="20"/>
        </w:rPr>
        <w:t xml:space="preserve">Ασθενείς με </w:t>
      </w:r>
      <w:r>
        <w:rPr>
          <w:color w:val="000000"/>
          <w:sz w:val="20"/>
          <w:szCs w:val="20"/>
        </w:rPr>
        <w:t xml:space="preserve">ένα </w:t>
      </w:r>
      <w:r w:rsidRPr="00A365F1">
        <w:rPr>
          <w:color w:val="000000"/>
          <w:sz w:val="20"/>
          <w:szCs w:val="20"/>
        </w:rPr>
        <w:t>σοβαρ</w:t>
      </w:r>
      <w:r>
        <w:rPr>
          <w:color w:val="000000"/>
          <w:sz w:val="20"/>
          <w:szCs w:val="20"/>
        </w:rPr>
        <w:t>ό</w:t>
      </w:r>
      <w:r w:rsidRPr="00A365F1">
        <w:rPr>
          <w:color w:val="000000"/>
          <w:sz w:val="20"/>
          <w:szCs w:val="20"/>
        </w:rPr>
        <w:t xml:space="preserve"> ή περισσότερα από δυο </w:t>
      </w:r>
      <w:r>
        <w:rPr>
          <w:color w:val="000000"/>
          <w:sz w:val="20"/>
          <w:szCs w:val="20"/>
        </w:rPr>
        <w:t xml:space="preserve">μέτριας βαρύτητας </w:t>
      </w:r>
      <w:r w:rsidRPr="00A365F1">
        <w:rPr>
          <w:color w:val="000000"/>
          <w:sz w:val="20"/>
          <w:szCs w:val="20"/>
        </w:rPr>
        <w:t>κατάγματα σπονδυλικής στήλης</w:t>
      </w:r>
      <w:r>
        <w:rPr>
          <w:color w:val="000000"/>
          <w:sz w:val="20"/>
          <w:szCs w:val="20"/>
        </w:rPr>
        <w:t xml:space="preserve">, μετά από ακτινολογική επιβεβαίωση </w:t>
      </w:r>
      <w:r w:rsidRPr="00A365F1">
        <w:rPr>
          <w:color w:val="000000"/>
          <w:sz w:val="20"/>
          <w:szCs w:val="20"/>
        </w:rPr>
        <w:t xml:space="preserve"> κατά την έναρξη της </w:t>
      </w:r>
      <w:r>
        <w:rPr>
          <w:color w:val="000000"/>
          <w:sz w:val="20"/>
          <w:szCs w:val="20"/>
        </w:rPr>
        <w:t>μελέτης</w:t>
      </w:r>
      <w:r w:rsidRPr="00A365F1">
        <w:rPr>
          <w:color w:val="000000"/>
          <w:sz w:val="20"/>
          <w:szCs w:val="20"/>
        </w:rPr>
        <w:t>.</w:t>
      </w:r>
    </w:p>
    <w:p w:rsidR="00AD2A71" w:rsidRPr="00A365F1" w:rsidRDefault="00AD2A71" w:rsidP="00D93516">
      <w:pPr>
        <w:pStyle w:val="Style3"/>
        <w:widowControl/>
        <w:spacing w:before="220" w:line="220" w:lineRule="exact"/>
        <w:jc w:val="both"/>
        <w:outlineLvl w:val="0"/>
        <w:rPr>
          <w:b/>
          <w:color w:val="0063C3"/>
          <w:sz w:val="20"/>
          <w:szCs w:val="20"/>
        </w:rPr>
      </w:pPr>
      <w:r w:rsidRPr="00A365F1">
        <w:rPr>
          <w:b/>
          <w:color w:val="0063C3"/>
          <w:sz w:val="20"/>
          <w:szCs w:val="20"/>
        </w:rPr>
        <w:t>Τι είναι Οστεοπόρωση</w:t>
      </w:r>
    </w:p>
    <w:p w:rsidR="00AD2A71" w:rsidRPr="00A365F1" w:rsidRDefault="00AD2A71" w:rsidP="00D93516">
      <w:pPr>
        <w:pStyle w:val="Style3"/>
        <w:widowControl/>
        <w:spacing w:before="220" w:after="120" w:line="220" w:lineRule="exact"/>
        <w:jc w:val="both"/>
        <w:rPr>
          <w:color w:val="000000"/>
          <w:sz w:val="20"/>
          <w:szCs w:val="20"/>
        </w:rPr>
      </w:pPr>
      <w:r w:rsidRPr="00A365F1">
        <w:rPr>
          <w:color w:val="000000"/>
          <w:sz w:val="20"/>
          <w:szCs w:val="20"/>
        </w:rPr>
        <w:t xml:space="preserve">Η Οστεοπόρωση είναι μια νόσος που εκδηλώνεται όταν η οστική απώλεια συμβαίνει γρηγορότερα από </w:t>
      </w:r>
      <w:r>
        <w:rPr>
          <w:color w:val="000000"/>
          <w:sz w:val="20"/>
          <w:szCs w:val="20"/>
        </w:rPr>
        <w:t>τη δημιουργία οστού</w:t>
      </w:r>
      <w:r w:rsidRPr="00A365F1">
        <w:rPr>
          <w:color w:val="000000"/>
          <w:sz w:val="20"/>
          <w:szCs w:val="20"/>
        </w:rPr>
        <w:t>.</w:t>
      </w:r>
    </w:p>
    <w:p w:rsidR="00AD2A71" w:rsidRPr="00A365F1" w:rsidRDefault="00AD2A71" w:rsidP="00D93516">
      <w:pPr>
        <w:pStyle w:val="Style3"/>
        <w:widowControl/>
        <w:spacing w:before="220" w:after="120" w:line="220" w:lineRule="exact"/>
        <w:jc w:val="both"/>
        <w:rPr>
          <w:color w:val="000000"/>
          <w:sz w:val="20"/>
          <w:szCs w:val="20"/>
        </w:rPr>
      </w:pPr>
      <w:r w:rsidRPr="00A365F1">
        <w:rPr>
          <w:color w:val="000000"/>
          <w:sz w:val="20"/>
          <w:szCs w:val="20"/>
        </w:rPr>
        <w:t>Μετά την εμμηνόπαυση, η μείωση των οιστρογόνων προκαλεί  γρήγορη αύξηση των κυττάρων που διαβρώνουν  τα οστά και μειώνουν την οστική πυκνότητα και δύναμη.</w:t>
      </w:r>
    </w:p>
    <w:p w:rsidR="00AD2A71" w:rsidRPr="00A365F1" w:rsidRDefault="00AD2A71" w:rsidP="00D93516">
      <w:pPr>
        <w:pStyle w:val="Style3"/>
        <w:widowControl/>
        <w:spacing w:before="220" w:after="120" w:line="220" w:lineRule="exact"/>
        <w:jc w:val="both"/>
        <w:rPr>
          <w:color w:val="000000"/>
          <w:sz w:val="20"/>
          <w:szCs w:val="20"/>
        </w:rPr>
      </w:pPr>
      <w:r w:rsidRPr="00A365F1">
        <w:rPr>
          <w:color w:val="000000"/>
          <w:sz w:val="20"/>
          <w:szCs w:val="20"/>
        </w:rPr>
        <w:t xml:space="preserve">Οι γυναίκες μπορούν να χάσουν μέχρι </w:t>
      </w:r>
      <w:r>
        <w:rPr>
          <w:color w:val="000000"/>
          <w:sz w:val="20"/>
          <w:szCs w:val="20"/>
        </w:rPr>
        <w:t xml:space="preserve">και </w:t>
      </w:r>
      <w:r w:rsidRPr="00A365F1">
        <w:rPr>
          <w:color w:val="000000"/>
          <w:sz w:val="20"/>
          <w:szCs w:val="20"/>
        </w:rPr>
        <w:t>το 20% της οστικής πυκνότητας σε 5 έως 7 χρόνια από την έναρξη της εμμηνόπαυσης.</w:t>
      </w:r>
    </w:p>
    <w:p w:rsidR="00AD2A71" w:rsidRPr="00AD2A71" w:rsidRDefault="00AD2A71" w:rsidP="00D93516">
      <w:pPr>
        <w:pStyle w:val="Style3"/>
        <w:widowControl/>
        <w:spacing w:before="220" w:after="120" w:line="220" w:lineRule="exact"/>
        <w:jc w:val="both"/>
        <w:rPr>
          <w:color w:val="000000"/>
          <w:sz w:val="20"/>
          <w:szCs w:val="20"/>
        </w:rPr>
      </w:pPr>
      <w:r w:rsidRPr="00A365F1">
        <w:rPr>
          <w:color w:val="000000"/>
          <w:sz w:val="20"/>
          <w:szCs w:val="20"/>
        </w:rPr>
        <w:t>Η μειωμένη οστική πυκνότητα εξασθενεί το οστό και θέτει τις γυναίκες σε μεγαλύτερο κίνδυνο για κατάγματα οστών.</w:t>
      </w:r>
    </w:p>
    <w:p w:rsidR="00D93516" w:rsidRDefault="00D93516" w:rsidP="00D93516">
      <w:pPr>
        <w:pStyle w:val="Style3"/>
        <w:widowControl/>
        <w:spacing w:before="220" w:line="220" w:lineRule="exact"/>
        <w:jc w:val="both"/>
        <w:outlineLvl w:val="0"/>
        <w:rPr>
          <w:b/>
          <w:color w:val="0063C3"/>
          <w:sz w:val="20"/>
          <w:szCs w:val="20"/>
        </w:rPr>
      </w:pPr>
    </w:p>
    <w:p w:rsidR="00AD2A71" w:rsidRPr="00A365F1" w:rsidRDefault="00AD2A71" w:rsidP="00D93516">
      <w:pPr>
        <w:pStyle w:val="Style3"/>
        <w:widowControl/>
        <w:spacing w:before="220" w:line="220" w:lineRule="exact"/>
        <w:jc w:val="both"/>
        <w:outlineLvl w:val="0"/>
        <w:rPr>
          <w:b/>
          <w:color w:val="0063C3"/>
          <w:sz w:val="20"/>
          <w:szCs w:val="20"/>
        </w:rPr>
      </w:pPr>
      <w:r w:rsidRPr="00A365F1">
        <w:rPr>
          <w:b/>
          <w:color w:val="0063C3"/>
          <w:sz w:val="20"/>
          <w:szCs w:val="20"/>
        </w:rPr>
        <w:lastRenderedPageBreak/>
        <w:t>Οστεοπόρωση: Επιπτώσεις και στατιστικά</w:t>
      </w:r>
    </w:p>
    <w:p w:rsidR="00AD2A71" w:rsidRPr="00A365F1" w:rsidRDefault="00AD2A71" w:rsidP="00D93516">
      <w:pPr>
        <w:pStyle w:val="Style3"/>
        <w:widowControl/>
        <w:spacing w:before="220" w:after="120" w:line="220" w:lineRule="exact"/>
        <w:jc w:val="both"/>
        <w:rPr>
          <w:color w:val="000000"/>
          <w:sz w:val="20"/>
          <w:szCs w:val="20"/>
        </w:rPr>
      </w:pPr>
      <w:r w:rsidRPr="00A365F1">
        <w:rPr>
          <w:color w:val="000000"/>
          <w:sz w:val="20"/>
          <w:szCs w:val="20"/>
        </w:rPr>
        <w:t xml:space="preserve">Η οστεοπόρωση, </w:t>
      </w:r>
      <w:r>
        <w:rPr>
          <w:color w:val="000000"/>
          <w:sz w:val="20"/>
          <w:szCs w:val="20"/>
        </w:rPr>
        <w:t>αναφερόμενη</w:t>
      </w:r>
      <w:r w:rsidRPr="00A365F1">
        <w:rPr>
          <w:color w:val="000000"/>
          <w:sz w:val="20"/>
          <w:szCs w:val="20"/>
        </w:rPr>
        <w:t xml:space="preserve"> ως ‘σιωπηλή επιδημία’</w:t>
      </w:r>
      <w:r>
        <w:rPr>
          <w:color w:val="000000"/>
          <w:sz w:val="20"/>
          <w:szCs w:val="20"/>
        </w:rPr>
        <w:t xml:space="preserve"> από </w:t>
      </w:r>
      <w:r w:rsidRPr="00A365F1">
        <w:rPr>
          <w:color w:val="000000"/>
          <w:sz w:val="20"/>
          <w:szCs w:val="20"/>
        </w:rPr>
        <w:t xml:space="preserve"> το Διεθνές Ίδρυμα Οστεοπόρωσης, συνιστά ένα συνεχώς εντεινόμενο παγκόσμιο πρόβλημα, άμεσα σχετιζόμενο με την αύξηση και τη γήρανση του πληθυσμού.</w:t>
      </w:r>
    </w:p>
    <w:p w:rsidR="00AD2A71" w:rsidRPr="00A365F1" w:rsidRDefault="00AD2A71" w:rsidP="00D93516">
      <w:pPr>
        <w:pStyle w:val="Style3"/>
        <w:widowControl/>
        <w:spacing w:before="220" w:after="120" w:line="220" w:lineRule="exact"/>
        <w:jc w:val="both"/>
        <w:rPr>
          <w:color w:val="000000"/>
          <w:sz w:val="20"/>
          <w:szCs w:val="20"/>
        </w:rPr>
      </w:pPr>
      <w:r w:rsidRPr="00A365F1">
        <w:rPr>
          <w:color w:val="000000"/>
          <w:sz w:val="20"/>
          <w:szCs w:val="20"/>
        </w:rPr>
        <w:t>Ο Παγκόσμιος Οργανισμός Υγείας έχει ανακηρύξει επίσημα την Οστεοπόρωση ως ένα μείζονος σημασίας θέμα για τη δημόσια υγεία και το Διεθνές Ίδρυμα Οστεοπόρωσης προτρέπει τις κυβερνήσεις παγκοσμίως να θέσουν την Οστεοπόρωση σε προτεραιότητα στον τομέα φροντίδας της υγείας.</w:t>
      </w:r>
    </w:p>
    <w:p w:rsidR="00AD2A71" w:rsidRPr="00875D5B" w:rsidRDefault="00AD2A71" w:rsidP="00D93516">
      <w:pPr>
        <w:pStyle w:val="Style3"/>
        <w:widowControl/>
        <w:spacing w:before="220" w:after="120" w:line="220" w:lineRule="exact"/>
        <w:jc w:val="both"/>
        <w:rPr>
          <w:color w:val="000000"/>
          <w:sz w:val="20"/>
          <w:szCs w:val="20"/>
        </w:rPr>
      </w:pPr>
      <w:r w:rsidRPr="00A365F1">
        <w:rPr>
          <w:color w:val="000000"/>
          <w:sz w:val="20"/>
          <w:szCs w:val="20"/>
        </w:rPr>
        <w:t>Τα κατάγματα που σχετίζονται με την Οστεοπόρωση αποτελούν σημαντική αιτία θνητότητας και θνησιμότητας.</w:t>
      </w:r>
    </w:p>
    <w:p w:rsidR="00AD2A71" w:rsidRPr="00FB1BBF" w:rsidRDefault="00AD2A71" w:rsidP="00D93516">
      <w:pPr>
        <w:pStyle w:val="Style3"/>
        <w:widowControl/>
        <w:spacing w:before="220" w:after="120" w:line="220" w:lineRule="exact"/>
        <w:jc w:val="both"/>
        <w:rPr>
          <w:color w:val="000000"/>
          <w:sz w:val="20"/>
          <w:szCs w:val="20"/>
        </w:rPr>
      </w:pPr>
      <w:r w:rsidRPr="00A365F1">
        <w:rPr>
          <w:color w:val="000000"/>
          <w:sz w:val="20"/>
          <w:szCs w:val="20"/>
        </w:rPr>
        <w:t xml:space="preserve">Το 2000 ο αριθμός των </w:t>
      </w:r>
      <w:proofErr w:type="spellStart"/>
      <w:r w:rsidRPr="00A365F1">
        <w:rPr>
          <w:color w:val="000000"/>
          <w:sz w:val="20"/>
          <w:szCs w:val="20"/>
        </w:rPr>
        <w:t>οστεοπορωτικών</w:t>
      </w:r>
      <w:proofErr w:type="spellEnd"/>
      <w:r w:rsidRPr="00A365F1">
        <w:rPr>
          <w:color w:val="000000"/>
          <w:sz w:val="20"/>
          <w:szCs w:val="20"/>
        </w:rPr>
        <w:t xml:space="preserve"> καταγμάτων στην Ευρώπη υπολογίστηκε στα 3,79 εκατομμύρια, από τα οποία τα 890.000 ήταν κατάγματα ισχίου</w:t>
      </w:r>
      <w:r w:rsidRPr="00FF3975">
        <w:rPr>
          <w:color w:val="000000"/>
          <w:sz w:val="20"/>
          <w:szCs w:val="20"/>
          <w:vertAlign w:val="superscript"/>
        </w:rPr>
        <w:t>1</w:t>
      </w:r>
      <w:r w:rsidRPr="00A365F1">
        <w:rPr>
          <w:color w:val="000000"/>
          <w:sz w:val="20"/>
          <w:szCs w:val="20"/>
        </w:rPr>
        <w:t xml:space="preserve">. Από το 2001, η εμφάνιση καταγμάτων ισχίου στις ευρωπαϊκές χώρες αυξήθηκε σημαντικά. </w:t>
      </w:r>
      <w:r w:rsidRPr="00FF3975">
        <w:rPr>
          <w:color w:val="000000"/>
          <w:sz w:val="20"/>
          <w:szCs w:val="20"/>
          <w:vertAlign w:val="superscript"/>
        </w:rPr>
        <w:t>2</w:t>
      </w:r>
    </w:p>
    <w:p w:rsidR="00AD2A71" w:rsidRPr="00FF3975" w:rsidRDefault="00AD2A71" w:rsidP="00D93516">
      <w:pPr>
        <w:pStyle w:val="Style3"/>
        <w:widowControl/>
        <w:spacing w:before="220" w:after="120" w:line="220" w:lineRule="exact"/>
        <w:jc w:val="both"/>
        <w:rPr>
          <w:color w:val="000000"/>
          <w:sz w:val="20"/>
          <w:szCs w:val="20"/>
        </w:rPr>
      </w:pPr>
      <w:r w:rsidRPr="00A365F1">
        <w:rPr>
          <w:color w:val="000000"/>
          <w:sz w:val="20"/>
          <w:szCs w:val="20"/>
        </w:rPr>
        <w:t>Στις ΗΠΑ, ο αριθμός των καταγμάτων που προκαλεί η οστεοπόρωση αναμένεται να αυξηθεί μέχρι το 2025</w:t>
      </w:r>
      <w:r w:rsidRPr="00FF3975">
        <w:rPr>
          <w:color w:val="000000"/>
          <w:sz w:val="20"/>
          <w:szCs w:val="20"/>
          <w:vertAlign w:val="superscript"/>
        </w:rPr>
        <w:t>3</w:t>
      </w:r>
      <w:r>
        <w:rPr>
          <w:color w:val="000000"/>
          <w:sz w:val="20"/>
          <w:szCs w:val="20"/>
          <w:vertAlign w:val="superscript"/>
        </w:rPr>
        <w:t xml:space="preserve"> </w:t>
      </w:r>
      <w:r w:rsidRPr="00A365F1">
        <w:rPr>
          <w:color w:val="000000"/>
          <w:sz w:val="20"/>
          <w:szCs w:val="20"/>
        </w:rPr>
        <w:t>σε περισσότερα από 3 εκατομμύρια</w:t>
      </w:r>
      <w:r>
        <w:rPr>
          <w:color w:val="000000"/>
          <w:sz w:val="20"/>
          <w:szCs w:val="20"/>
        </w:rPr>
        <w:t>.</w:t>
      </w:r>
      <w:r w:rsidRPr="00A365F1">
        <w:rPr>
          <w:color w:val="000000"/>
          <w:sz w:val="20"/>
          <w:szCs w:val="20"/>
        </w:rPr>
        <w:t xml:space="preserve"> </w:t>
      </w:r>
    </w:p>
    <w:p w:rsidR="00AD2A71" w:rsidRPr="00A365F1" w:rsidRDefault="00AD2A71" w:rsidP="00D93516">
      <w:pPr>
        <w:pStyle w:val="Style3"/>
        <w:widowControl/>
        <w:spacing w:before="220" w:after="120" w:line="220" w:lineRule="exact"/>
        <w:jc w:val="both"/>
        <w:rPr>
          <w:color w:val="000000"/>
          <w:sz w:val="20"/>
          <w:szCs w:val="20"/>
        </w:rPr>
      </w:pPr>
      <w:r w:rsidRPr="00A365F1">
        <w:rPr>
          <w:color w:val="000000"/>
          <w:sz w:val="20"/>
          <w:szCs w:val="20"/>
        </w:rPr>
        <w:t>Το 2005, τα κατάγματα που σχετίζονται με την οστεοπόρωση επιβάρυναν τις ΗΠΑ με 19 δισ. δολάρια και το κόστος αυτό αναμένεται να αυξηθεί σε σχεδόν 25 δισ. δολάρια μέχρι το 2025.</w:t>
      </w:r>
      <w:r w:rsidRPr="00FF3975">
        <w:rPr>
          <w:color w:val="000000"/>
          <w:sz w:val="20"/>
          <w:szCs w:val="20"/>
          <w:vertAlign w:val="superscript"/>
        </w:rPr>
        <w:t>3</w:t>
      </w:r>
      <w:r w:rsidRPr="00A365F1">
        <w:rPr>
          <w:color w:val="000000"/>
          <w:sz w:val="20"/>
          <w:szCs w:val="20"/>
        </w:rPr>
        <w:t xml:space="preserve"> Το άμεσο ιατρικό κόστος των </w:t>
      </w:r>
      <w:proofErr w:type="spellStart"/>
      <w:r w:rsidRPr="00A365F1">
        <w:rPr>
          <w:color w:val="000000"/>
          <w:sz w:val="20"/>
          <w:szCs w:val="20"/>
        </w:rPr>
        <w:t>οστεοπορωτικών</w:t>
      </w:r>
      <w:proofErr w:type="spellEnd"/>
      <w:r w:rsidRPr="00A365F1">
        <w:rPr>
          <w:color w:val="000000"/>
          <w:sz w:val="20"/>
          <w:szCs w:val="20"/>
        </w:rPr>
        <w:t xml:space="preserve"> καταγμάτων στην Ευρώπη αναμένεται να αυξηθεί από 31,7 δις ευρώ το 2000 σε 76,7 δις το 2050. </w:t>
      </w:r>
      <w:r w:rsidRPr="00FF3975">
        <w:rPr>
          <w:color w:val="000000"/>
          <w:sz w:val="20"/>
          <w:szCs w:val="20"/>
          <w:vertAlign w:val="superscript"/>
        </w:rPr>
        <w:t>1</w:t>
      </w:r>
    </w:p>
    <w:p w:rsidR="00AD2A71" w:rsidRPr="00AD2A71" w:rsidRDefault="00AD2A71" w:rsidP="00D93516">
      <w:pPr>
        <w:pStyle w:val="Style3"/>
        <w:widowControl/>
        <w:spacing w:before="220" w:line="220" w:lineRule="exact"/>
        <w:jc w:val="both"/>
        <w:rPr>
          <w:b/>
          <w:color w:val="0063C3"/>
          <w:sz w:val="20"/>
          <w:szCs w:val="20"/>
        </w:rPr>
      </w:pPr>
    </w:p>
    <w:p w:rsidR="00AD2A71" w:rsidRPr="00A365F1" w:rsidRDefault="00AD2A71" w:rsidP="00D93516">
      <w:pPr>
        <w:pStyle w:val="Style3"/>
        <w:widowControl/>
        <w:spacing w:before="220" w:line="220" w:lineRule="exact"/>
        <w:jc w:val="both"/>
        <w:outlineLvl w:val="0"/>
        <w:rPr>
          <w:color w:val="000000"/>
          <w:sz w:val="20"/>
          <w:szCs w:val="20"/>
        </w:rPr>
      </w:pPr>
      <w:r w:rsidRPr="00A365F1">
        <w:rPr>
          <w:b/>
          <w:color w:val="0063C3"/>
          <w:sz w:val="20"/>
          <w:szCs w:val="20"/>
        </w:rPr>
        <w:t>Πρόσθετες πληροφορίες</w:t>
      </w:r>
    </w:p>
    <w:p w:rsidR="00AD2A71" w:rsidRPr="006C7D85" w:rsidRDefault="00AD2A71" w:rsidP="00D93516">
      <w:pPr>
        <w:pStyle w:val="Style3"/>
        <w:widowControl/>
        <w:spacing w:before="220" w:after="120" w:line="220" w:lineRule="exact"/>
        <w:jc w:val="both"/>
        <w:rPr>
          <w:color w:val="000000"/>
          <w:sz w:val="20"/>
          <w:szCs w:val="20"/>
        </w:rPr>
      </w:pPr>
      <w:r w:rsidRPr="00A365F1">
        <w:rPr>
          <w:color w:val="000000"/>
          <w:sz w:val="20"/>
          <w:szCs w:val="20"/>
        </w:rPr>
        <w:t xml:space="preserve">Για επιπλέον πληροφορίες επισκεφτείτε τις ιστοσελίδες </w:t>
      </w:r>
      <w:hyperlink r:id="rId8" w:history="1">
        <w:r w:rsidRPr="00A365F1">
          <w:rPr>
            <w:color w:val="000000"/>
            <w:sz w:val="20"/>
            <w:szCs w:val="20"/>
          </w:rPr>
          <w:t>http://www.amgentrials.com</w:t>
        </w:r>
      </w:hyperlink>
      <w:r w:rsidRPr="00A365F1">
        <w:rPr>
          <w:color w:val="000000"/>
          <w:sz w:val="20"/>
          <w:szCs w:val="20"/>
        </w:rPr>
        <w:t xml:space="preserve">  ή </w:t>
      </w:r>
      <w:hyperlink r:id="rId9" w:history="1">
        <w:r w:rsidRPr="00A365F1">
          <w:rPr>
            <w:color w:val="000000"/>
            <w:sz w:val="20"/>
            <w:szCs w:val="20"/>
          </w:rPr>
          <w:t>http://clinicaltrials.gov</w:t>
        </w:r>
      </w:hyperlink>
      <w:r w:rsidRPr="00A365F1">
        <w:rPr>
          <w:color w:val="000000"/>
          <w:sz w:val="20"/>
          <w:szCs w:val="20"/>
        </w:rPr>
        <w:t xml:space="preserve">. </w:t>
      </w:r>
    </w:p>
    <w:p w:rsidR="00AD2A71" w:rsidRPr="00AD2A71" w:rsidRDefault="00AD2A71" w:rsidP="00D93516">
      <w:pPr>
        <w:pStyle w:val="Style3"/>
        <w:widowControl/>
        <w:spacing w:before="220" w:line="220" w:lineRule="exact"/>
        <w:jc w:val="both"/>
        <w:rPr>
          <w:b/>
          <w:color w:val="0063C3"/>
          <w:sz w:val="20"/>
          <w:szCs w:val="20"/>
        </w:rPr>
      </w:pPr>
    </w:p>
    <w:p w:rsidR="00AD2A71" w:rsidRPr="00A365F1" w:rsidRDefault="00AD2A71" w:rsidP="00D93516">
      <w:pPr>
        <w:pStyle w:val="Style3"/>
        <w:widowControl/>
        <w:spacing w:before="220" w:line="220" w:lineRule="exact"/>
        <w:jc w:val="both"/>
        <w:outlineLvl w:val="0"/>
        <w:rPr>
          <w:b/>
          <w:color w:val="0063C3"/>
          <w:sz w:val="20"/>
          <w:szCs w:val="20"/>
        </w:rPr>
      </w:pPr>
      <w:r w:rsidRPr="00A365F1">
        <w:rPr>
          <w:b/>
          <w:color w:val="0063C3"/>
          <w:sz w:val="20"/>
          <w:szCs w:val="20"/>
        </w:rPr>
        <w:t xml:space="preserve">Στοιχεία </w:t>
      </w:r>
      <w:r>
        <w:rPr>
          <w:b/>
          <w:color w:val="0063C3"/>
          <w:sz w:val="20"/>
          <w:szCs w:val="20"/>
        </w:rPr>
        <w:t>Μελέτης</w:t>
      </w:r>
    </w:p>
    <w:p w:rsidR="00AD2A71" w:rsidRPr="00A365F1" w:rsidRDefault="00AD2A71" w:rsidP="00D93516">
      <w:pPr>
        <w:pStyle w:val="Style3"/>
        <w:widowControl/>
        <w:spacing w:before="220" w:after="120" w:line="220" w:lineRule="exact"/>
        <w:jc w:val="both"/>
        <w:rPr>
          <w:color w:val="000000"/>
          <w:sz w:val="20"/>
          <w:szCs w:val="20"/>
        </w:rPr>
      </w:pPr>
      <w:r w:rsidRPr="00A365F1">
        <w:rPr>
          <w:color w:val="000000"/>
          <w:sz w:val="20"/>
          <w:szCs w:val="20"/>
        </w:rPr>
        <w:t xml:space="preserve">Η FREEDOM ήταν μια διεθνής πολυκεντρική </w:t>
      </w:r>
      <w:r>
        <w:rPr>
          <w:color w:val="000000"/>
          <w:sz w:val="20"/>
          <w:szCs w:val="20"/>
        </w:rPr>
        <w:t>κλινική μελέτη</w:t>
      </w:r>
      <w:r w:rsidRPr="00A365F1">
        <w:rPr>
          <w:color w:val="000000"/>
          <w:sz w:val="20"/>
          <w:szCs w:val="20"/>
        </w:rPr>
        <w:t xml:space="preserve"> που πραγματοποιήθηκε σε </w:t>
      </w:r>
      <w:proofErr w:type="spellStart"/>
      <w:r w:rsidRPr="00A365F1">
        <w:rPr>
          <w:color w:val="000000"/>
          <w:sz w:val="20"/>
          <w:szCs w:val="20"/>
        </w:rPr>
        <w:t>μετεμμηνοπαυσιακές</w:t>
      </w:r>
      <w:proofErr w:type="spellEnd"/>
      <w:r w:rsidRPr="00A365F1">
        <w:rPr>
          <w:color w:val="000000"/>
          <w:sz w:val="20"/>
          <w:szCs w:val="20"/>
        </w:rPr>
        <w:t xml:space="preserve"> γυναίκες με Οστεοπόρωση.</w:t>
      </w:r>
    </w:p>
    <w:p w:rsidR="00AD2A71" w:rsidRPr="00875D5B" w:rsidRDefault="00AD2A71" w:rsidP="00D93516">
      <w:pPr>
        <w:pStyle w:val="Style3"/>
        <w:widowControl/>
        <w:spacing w:before="220" w:after="120" w:line="220" w:lineRule="exact"/>
        <w:jc w:val="both"/>
        <w:rPr>
          <w:color w:val="000000"/>
          <w:sz w:val="20"/>
          <w:szCs w:val="20"/>
        </w:rPr>
      </w:pPr>
      <w:r w:rsidRPr="00A365F1">
        <w:rPr>
          <w:color w:val="000000"/>
          <w:sz w:val="20"/>
          <w:szCs w:val="20"/>
        </w:rPr>
        <w:t>Περίπου 7.800 ασθενείς συμμετείχαν στην έρευνα.</w:t>
      </w:r>
    </w:p>
    <w:p w:rsidR="00AD2A71" w:rsidRPr="00A365F1" w:rsidRDefault="00AD2A71" w:rsidP="00D93516">
      <w:pPr>
        <w:pStyle w:val="Style3"/>
        <w:widowControl/>
        <w:spacing w:before="220" w:after="120" w:line="220" w:lineRule="exact"/>
        <w:jc w:val="both"/>
        <w:rPr>
          <w:color w:val="000000"/>
          <w:sz w:val="20"/>
          <w:szCs w:val="20"/>
        </w:rPr>
      </w:pPr>
      <w:r w:rsidRPr="00A365F1">
        <w:rPr>
          <w:color w:val="000000"/>
          <w:sz w:val="20"/>
          <w:szCs w:val="20"/>
        </w:rPr>
        <w:t xml:space="preserve">Η </w:t>
      </w:r>
      <w:r>
        <w:rPr>
          <w:color w:val="000000"/>
          <w:sz w:val="20"/>
          <w:szCs w:val="20"/>
        </w:rPr>
        <w:t xml:space="preserve">κλινική </w:t>
      </w:r>
      <w:r w:rsidRPr="00A365F1">
        <w:rPr>
          <w:color w:val="000000"/>
          <w:sz w:val="20"/>
          <w:szCs w:val="20"/>
        </w:rPr>
        <w:t>δοκιμή ξεκίνησε το 2004 και ολοκληρώθηκε</w:t>
      </w:r>
      <w:r w:rsidR="00652D07" w:rsidRPr="00652D07">
        <w:rPr>
          <w:color w:val="000000"/>
          <w:sz w:val="20"/>
          <w:szCs w:val="20"/>
        </w:rPr>
        <w:t xml:space="preserve"> </w:t>
      </w:r>
      <w:r w:rsidRPr="00A365F1">
        <w:rPr>
          <w:color w:val="000000"/>
          <w:sz w:val="20"/>
          <w:szCs w:val="20"/>
        </w:rPr>
        <w:t>το 2008.</w:t>
      </w:r>
    </w:p>
    <w:p w:rsidR="00AD2A71" w:rsidRPr="007D257D" w:rsidRDefault="00AD2A71" w:rsidP="00D93516">
      <w:pPr>
        <w:pStyle w:val="Style3"/>
        <w:widowControl/>
        <w:spacing w:before="220" w:after="120" w:line="220" w:lineRule="exact"/>
        <w:jc w:val="both"/>
        <w:rPr>
          <w:color w:val="000000"/>
          <w:sz w:val="20"/>
          <w:szCs w:val="20"/>
        </w:rPr>
      </w:pPr>
      <w:r w:rsidRPr="00A365F1">
        <w:rPr>
          <w:color w:val="000000"/>
          <w:sz w:val="20"/>
          <w:szCs w:val="20"/>
        </w:rPr>
        <w:t xml:space="preserve">Βρίσκεται σε εξέλιξη επταετής παράταση </w:t>
      </w:r>
      <w:r>
        <w:rPr>
          <w:color w:val="000000"/>
          <w:sz w:val="20"/>
          <w:szCs w:val="20"/>
        </w:rPr>
        <w:t xml:space="preserve">της μελέτης, προκειμένου </w:t>
      </w:r>
      <w:r w:rsidRPr="00A365F1">
        <w:rPr>
          <w:color w:val="000000"/>
          <w:sz w:val="20"/>
          <w:szCs w:val="20"/>
        </w:rPr>
        <w:t xml:space="preserve">να αξιολογηθεί η μακροπρόθεσμη ασφάλεια και αποτελεσματικότητα του </w:t>
      </w:r>
      <w:proofErr w:type="spellStart"/>
      <w:r w:rsidRPr="00A365F1">
        <w:rPr>
          <w:color w:val="000000"/>
          <w:sz w:val="20"/>
          <w:szCs w:val="20"/>
        </w:rPr>
        <w:t>denosumab</w:t>
      </w:r>
      <w:proofErr w:type="spellEnd"/>
      <w:r w:rsidRPr="00A365F1">
        <w:rPr>
          <w:color w:val="000000"/>
          <w:sz w:val="20"/>
          <w:szCs w:val="20"/>
        </w:rPr>
        <w:t xml:space="preserve"> σε περισσότερες από 4.500 ασθενείς.</w:t>
      </w:r>
    </w:p>
    <w:p w:rsidR="00AD2A71" w:rsidRDefault="00AD2A71" w:rsidP="00D93516">
      <w:pPr>
        <w:pStyle w:val="Style3"/>
        <w:widowControl/>
        <w:spacing w:before="220" w:after="120" w:line="220" w:lineRule="exact"/>
        <w:jc w:val="both"/>
        <w:rPr>
          <w:color w:val="000000"/>
          <w:sz w:val="20"/>
          <w:szCs w:val="20"/>
        </w:rPr>
      </w:pPr>
    </w:p>
    <w:p w:rsidR="00D93516" w:rsidRPr="00E47793" w:rsidRDefault="00D93516" w:rsidP="00D93516">
      <w:pPr>
        <w:pStyle w:val="Style3"/>
        <w:widowControl/>
        <w:spacing w:before="220" w:after="120" w:line="220" w:lineRule="exact"/>
        <w:jc w:val="both"/>
        <w:rPr>
          <w:color w:val="000000"/>
          <w:sz w:val="20"/>
          <w:szCs w:val="20"/>
        </w:rPr>
      </w:pPr>
    </w:p>
    <w:p w:rsidR="00AD2A71" w:rsidRPr="007D257D" w:rsidRDefault="00AD2A71" w:rsidP="00D93516">
      <w:pPr>
        <w:pStyle w:val="Style3"/>
        <w:widowControl/>
        <w:spacing w:before="220" w:after="120" w:line="220" w:lineRule="exact"/>
        <w:jc w:val="both"/>
        <w:rPr>
          <w:color w:val="000000"/>
          <w:sz w:val="20"/>
          <w:szCs w:val="20"/>
          <w:lang w:val="en-US"/>
        </w:rPr>
      </w:pPr>
      <w:r w:rsidRPr="00A365F1">
        <w:rPr>
          <w:color w:val="000000"/>
          <w:sz w:val="20"/>
          <w:szCs w:val="20"/>
        </w:rPr>
        <w:t>Παραπομπές</w:t>
      </w:r>
      <w:r w:rsidRPr="00A365F1">
        <w:rPr>
          <w:color w:val="000000"/>
          <w:sz w:val="20"/>
          <w:szCs w:val="20"/>
          <w:lang w:val="en-US"/>
        </w:rPr>
        <w:t>:</w:t>
      </w:r>
    </w:p>
    <w:p w:rsidR="00AD2A71" w:rsidRPr="00A365F1" w:rsidRDefault="00AD2A71" w:rsidP="00D93516">
      <w:pPr>
        <w:pStyle w:val="Style3"/>
        <w:widowControl/>
        <w:spacing w:before="220" w:line="220" w:lineRule="exact"/>
        <w:jc w:val="both"/>
        <w:rPr>
          <w:color w:val="000000"/>
          <w:sz w:val="20"/>
          <w:szCs w:val="20"/>
          <w:lang w:val="en-US"/>
        </w:rPr>
      </w:pPr>
      <w:proofErr w:type="gramStart"/>
      <w:r w:rsidRPr="00A365F1">
        <w:rPr>
          <w:sz w:val="20"/>
          <w:szCs w:val="20"/>
          <w:lang w:val="en-US"/>
        </w:rPr>
        <w:t>1 “Facts and statistics about osteoporosis and its impact.”</w:t>
      </w:r>
      <w:proofErr w:type="gramEnd"/>
      <w:r w:rsidRPr="00A365F1">
        <w:rPr>
          <w:sz w:val="20"/>
          <w:szCs w:val="20"/>
          <w:lang w:val="en-US"/>
        </w:rPr>
        <w:t xml:space="preserve"> </w:t>
      </w:r>
      <w:proofErr w:type="gramStart"/>
      <w:r w:rsidRPr="00A365F1">
        <w:rPr>
          <w:sz w:val="20"/>
          <w:szCs w:val="20"/>
          <w:lang w:val="en-US"/>
        </w:rPr>
        <w:t>International Osteoporosis Foundation.</w:t>
      </w:r>
      <w:proofErr w:type="gramEnd"/>
      <w:r w:rsidRPr="00A365F1">
        <w:rPr>
          <w:sz w:val="20"/>
          <w:szCs w:val="20"/>
          <w:lang w:val="en-US"/>
        </w:rPr>
        <w:t xml:space="preserve"> Accessed at http://www.iofbonehealth.org/facts-and-statistics.html on 10 March 2009</w:t>
      </w:r>
    </w:p>
    <w:p w:rsidR="00AD2A71" w:rsidRPr="00A365F1" w:rsidRDefault="00AD2A71" w:rsidP="00D93516">
      <w:pPr>
        <w:pStyle w:val="Style3"/>
        <w:widowControl/>
        <w:spacing w:before="220" w:line="220" w:lineRule="exact"/>
        <w:jc w:val="both"/>
        <w:rPr>
          <w:color w:val="000000"/>
          <w:sz w:val="20"/>
          <w:szCs w:val="20"/>
          <w:lang w:val="en-US"/>
        </w:rPr>
      </w:pPr>
      <w:r w:rsidRPr="00A365F1">
        <w:rPr>
          <w:sz w:val="20"/>
          <w:szCs w:val="20"/>
          <w:lang w:val="en-US"/>
        </w:rPr>
        <w:t>2 “Osteoporosis in the European Union in 2008: Ten years of progress and ongoing challenges.” Accessed at http://www.iofbonehealth.org/publications/eu-policy-report-of-2008.html on 10 March 2009</w:t>
      </w:r>
    </w:p>
    <w:p w:rsidR="00AD2A71" w:rsidRPr="00A365F1" w:rsidRDefault="00AD2A71" w:rsidP="00D93516">
      <w:pPr>
        <w:pStyle w:val="Style3"/>
        <w:widowControl/>
        <w:spacing w:before="220" w:line="220" w:lineRule="exact"/>
        <w:jc w:val="both"/>
        <w:rPr>
          <w:color w:val="000000"/>
          <w:sz w:val="20"/>
          <w:szCs w:val="20"/>
        </w:rPr>
      </w:pPr>
      <w:proofErr w:type="gramStart"/>
      <w:r w:rsidRPr="00A365F1">
        <w:rPr>
          <w:sz w:val="20"/>
          <w:szCs w:val="20"/>
          <w:lang w:val="en-US"/>
        </w:rPr>
        <w:t>3 Burge R, et al. Incidence and economic burden of osteoporosis-related fractures in the United States, 2005–2025.</w:t>
      </w:r>
      <w:proofErr w:type="gramEnd"/>
      <w:r w:rsidRPr="00A365F1">
        <w:rPr>
          <w:sz w:val="20"/>
          <w:szCs w:val="20"/>
          <w:lang w:val="en-US"/>
        </w:rPr>
        <w:t xml:space="preserve"> </w:t>
      </w:r>
      <w:r w:rsidRPr="00A365F1">
        <w:rPr>
          <w:sz w:val="20"/>
          <w:szCs w:val="20"/>
        </w:rPr>
        <w:t xml:space="preserve">J </w:t>
      </w:r>
      <w:proofErr w:type="spellStart"/>
      <w:r w:rsidRPr="00A365F1">
        <w:rPr>
          <w:sz w:val="20"/>
          <w:szCs w:val="20"/>
        </w:rPr>
        <w:t>Bone</w:t>
      </w:r>
      <w:proofErr w:type="spellEnd"/>
      <w:r w:rsidRPr="00A365F1">
        <w:rPr>
          <w:sz w:val="20"/>
          <w:szCs w:val="20"/>
        </w:rPr>
        <w:t xml:space="preserve"> </w:t>
      </w:r>
      <w:proofErr w:type="spellStart"/>
      <w:r w:rsidRPr="00A365F1">
        <w:rPr>
          <w:sz w:val="20"/>
          <w:szCs w:val="20"/>
        </w:rPr>
        <w:t>Miner</w:t>
      </w:r>
      <w:proofErr w:type="spellEnd"/>
      <w:r w:rsidRPr="00A365F1">
        <w:rPr>
          <w:sz w:val="20"/>
          <w:szCs w:val="20"/>
        </w:rPr>
        <w:t xml:space="preserve"> </w:t>
      </w:r>
      <w:proofErr w:type="spellStart"/>
      <w:r w:rsidRPr="00A365F1">
        <w:rPr>
          <w:sz w:val="20"/>
          <w:szCs w:val="20"/>
        </w:rPr>
        <w:t>Res</w:t>
      </w:r>
      <w:proofErr w:type="spellEnd"/>
      <w:r w:rsidRPr="00A365F1">
        <w:rPr>
          <w:sz w:val="20"/>
          <w:szCs w:val="20"/>
        </w:rPr>
        <w:t>. 2007: 22::465-475.</w:t>
      </w:r>
    </w:p>
    <w:p w:rsidR="00E64B9B" w:rsidRDefault="00E64B9B" w:rsidP="001E7255">
      <w:pPr>
        <w:ind w:left="-426" w:right="567"/>
      </w:pPr>
    </w:p>
    <w:sectPr w:rsidR="00E64B9B" w:rsidSect="001E7255">
      <w:headerReference w:type="even" r:id="rId10"/>
      <w:headerReference w:type="default" r:id="rId11"/>
      <w:footerReference w:type="even" r:id="rId12"/>
      <w:footerReference w:type="default" r:id="rId13"/>
      <w:headerReference w:type="first" r:id="rId14"/>
      <w:footerReference w:type="first" r:id="rId15"/>
      <w:pgSz w:w="11906" w:h="16838"/>
      <w:pgMar w:top="1440" w:right="1416"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A71" w:rsidRDefault="00AD2A71" w:rsidP="00AD2A71">
      <w:pPr>
        <w:spacing w:after="0" w:line="240" w:lineRule="auto"/>
      </w:pPr>
      <w:r>
        <w:separator/>
      </w:r>
    </w:p>
  </w:endnote>
  <w:endnote w:type="continuationSeparator" w:id="1">
    <w:p w:rsidR="00AD2A71" w:rsidRDefault="00AD2A71" w:rsidP="00AD2A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20002A87" w:usb1="80000000" w:usb2="00000008" w:usb3="00000000" w:csb0="000001FF" w:csb1="00000000"/>
  </w:font>
  <w:font w:name="Times">
    <w:panose1 w:val="02020603050405020304"/>
    <w:charset w:val="A1"/>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55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A1"/>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A71" w:rsidRDefault="00AD2A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98378"/>
      <w:docPartObj>
        <w:docPartGallery w:val="Page Numbers (Bottom of Page)"/>
        <w:docPartUnique/>
      </w:docPartObj>
    </w:sdtPr>
    <w:sdtContent>
      <w:p w:rsidR="00AD2A71" w:rsidRDefault="00BD672D">
        <w:pPr>
          <w:pStyle w:val="Footer"/>
          <w:jc w:val="center"/>
        </w:pPr>
        <w:r>
          <w:fldChar w:fldCharType="begin"/>
        </w:r>
        <w:r w:rsidR="00AD2A71">
          <w:instrText xml:space="preserve"> PAGE   \* MERGEFORMAT </w:instrText>
        </w:r>
        <w:r>
          <w:fldChar w:fldCharType="separate"/>
        </w:r>
        <w:r w:rsidR="00324B83">
          <w:rPr>
            <w:noProof/>
          </w:rPr>
          <w:t>1</w:t>
        </w:r>
        <w:r>
          <w:fldChar w:fldCharType="end"/>
        </w:r>
      </w:p>
    </w:sdtContent>
  </w:sdt>
  <w:p w:rsidR="00AD2A71" w:rsidRDefault="00AD2A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A71" w:rsidRDefault="00AD2A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A71" w:rsidRDefault="00AD2A71" w:rsidP="00AD2A71">
      <w:pPr>
        <w:spacing w:after="0" w:line="240" w:lineRule="auto"/>
      </w:pPr>
      <w:r>
        <w:separator/>
      </w:r>
    </w:p>
  </w:footnote>
  <w:footnote w:type="continuationSeparator" w:id="1">
    <w:p w:rsidR="00AD2A71" w:rsidRDefault="00AD2A71" w:rsidP="00AD2A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A71" w:rsidRDefault="00AD2A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A71" w:rsidRPr="00227742" w:rsidRDefault="00AD2A71" w:rsidP="00AD2A71">
    <w:pPr>
      <w:pStyle w:val="Style6"/>
      <w:widowControl/>
      <w:ind w:left="3" w:right="-57"/>
      <w:rPr>
        <w:rStyle w:val="FontStyle18"/>
      </w:rPr>
    </w:pPr>
    <w:r>
      <w:rPr>
        <w:rStyle w:val="FontStyle18"/>
      </w:rPr>
      <w:t>Η κλινική μελέτη</w:t>
    </w:r>
    <w:r w:rsidRPr="00227742">
      <w:rPr>
        <w:rStyle w:val="FontStyle18"/>
      </w:rPr>
      <w:t xml:space="preserve"> </w:t>
    </w:r>
    <w:r>
      <w:rPr>
        <w:rStyle w:val="FontStyle18"/>
        <w:lang w:val="en-US"/>
      </w:rPr>
      <w:t>FREEDOM</w:t>
    </w:r>
    <w:r w:rsidRPr="00227742">
      <w:rPr>
        <w:rStyle w:val="FontStyle18"/>
      </w:rPr>
      <w:t xml:space="preserve"> για το </w:t>
    </w:r>
    <w:proofErr w:type="spellStart"/>
    <w:r w:rsidRPr="00227742">
      <w:rPr>
        <w:rStyle w:val="FontStyle18"/>
      </w:rPr>
      <w:t>Denosumab</w:t>
    </w:r>
    <w:proofErr w:type="spellEnd"/>
  </w:p>
  <w:p w:rsidR="00AD2A71" w:rsidRDefault="00AD2A71">
    <w:pPr>
      <w:pStyle w:val="Header"/>
    </w:pPr>
  </w:p>
  <w:p w:rsidR="00AD2A71" w:rsidRDefault="00AD2A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A71" w:rsidRDefault="00AD2A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F26AC"/>
    <w:multiLevelType w:val="hybridMultilevel"/>
    <w:tmpl w:val="363ABB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0"/>
    <w:footnote w:id="1"/>
  </w:footnotePr>
  <w:endnotePr>
    <w:endnote w:id="0"/>
    <w:endnote w:id="1"/>
  </w:endnotePr>
  <w:compat/>
  <w:rsids>
    <w:rsidRoot w:val="00AD2A71"/>
    <w:rsid w:val="00005007"/>
    <w:rsid w:val="000773EC"/>
    <w:rsid w:val="000F1775"/>
    <w:rsid w:val="001E7255"/>
    <w:rsid w:val="00324B83"/>
    <w:rsid w:val="005F1505"/>
    <w:rsid w:val="00652D07"/>
    <w:rsid w:val="006D0473"/>
    <w:rsid w:val="009D6EA1"/>
    <w:rsid w:val="00AD2A71"/>
    <w:rsid w:val="00BD672D"/>
    <w:rsid w:val="00C63378"/>
    <w:rsid w:val="00D11E42"/>
    <w:rsid w:val="00D93516"/>
    <w:rsid w:val="00E64B9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B9B"/>
  </w:style>
  <w:style w:type="paragraph" w:styleId="Heading4">
    <w:name w:val="heading 4"/>
    <w:basedOn w:val="Normal"/>
    <w:next w:val="Normal"/>
    <w:link w:val="Heading4Char"/>
    <w:uiPriority w:val="9"/>
    <w:semiHidden/>
    <w:unhideWhenUsed/>
    <w:qFormat/>
    <w:rsid w:val="00AD2A7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8">
    <w:name w:val="Font Style18"/>
    <w:basedOn w:val="DefaultParagraphFont"/>
    <w:rsid w:val="00AD2A71"/>
    <w:rPr>
      <w:rFonts w:ascii="Arial" w:hAnsi="Arial" w:cs="Arial"/>
      <w:b/>
      <w:bCs/>
      <w:i/>
      <w:iCs/>
      <w:sz w:val="18"/>
      <w:szCs w:val="18"/>
    </w:rPr>
  </w:style>
  <w:style w:type="paragraph" w:customStyle="1" w:styleId="amgbluetitle18pt">
    <w:name w:val="amgblue title 18pt"/>
    <w:basedOn w:val="Heading4"/>
    <w:rsid w:val="00AD2A71"/>
    <w:pPr>
      <w:keepLines w:val="0"/>
      <w:spacing w:before="0" w:after="120" w:line="240" w:lineRule="auto"/>
      <w:ind w:left="2160"/>
    </w:pPr>
    <w:rPr>
      <w:rFonts w:ascii="Arial" w:eastAsia="Times" w:hAnsi="Arial" w:cs="Times New Roman"/>
      <w:bCs w:val="0"/>
      <w:i w:val="0"/>
      <w:iCs w:val="0"/>
      <w:color w:val="3366FF"/>
      <w:sz w:val="36"/>
      <w:szCs w:val="20"/>
      <w:lang w:val="en-US"/>
    </w:rPr>
  </w:style>
  <w:style w:type="character" w:customStyle="1" w:styleId="Heading4Char">
    <w:name w:val="Heading 4 Char"/>
    <w:basedOn w:val="DefaultParagraphFont"/>
    <w:link w:val="Heading4"/>
    <w:uiPriority w:val="9"/>
    <w:semiHidden/>
    <w:rsid w:val="00AD2A71"/>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AD2A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AD2A71"/>
  </w:style>
  <w:style w:type="paragraph" w:styleId="Footer">
    <w:name w:val="footer"/>
    <w:basedOn w:val="Normal"/>
    <w:link w:val="FooterChar"/>
    <w:uiPriority w:val="99"/>
    <w:unhideWhenUsed/>
    <w:rsid w:val="00AD2A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AD2A71"/>
  </w:style>
  <w:style w:type="paragraph" w:styleId="BalloonText">
    <w:name w:val="Balloon Text"/>
    <w:basedOn w:val="Normal"/>
    <w:link w:val="BalloonTextChar"/>
    <w:uiPriority w:val="99"/>
    <w:semiHidden/>
    <w:unhideWhenUsed/>
    <w:rsid w:val="00AD2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A71"/>
    <w:rPr>
      <w:rFonts w:ascii="Tahoma" w:hAnsi="Tahoma" w:cs="Tahoma"/>
      <w:sz w:val="16"/>
      <w:szCs w:val="16"/>
    </w:rPr>
  </w:style>
  <w:style w:type="paragraph" w:customStyle="1" w:styleId="Style6">
    <w:name w:val="Style6"/>
    <w:basedOn w:val="Normal"/>
    <w:rsid w:val="00AD2A71"/>
    <w:pPr>
      <w:widowControl w:val="0"/>
      <w:autoSpaceDE w:val="0"/>
      <w:autoSpaceDN w:val="0"/>
      <w:adjustRightInd w:val="0"/>
      <w:spacing w:after="0" w:line="230" w:lineRule="exact"/>
      <w:jc w:val="both"/>
    </w:pPr>
    <w:rPr>
      <w:rFonts w:ascii="Arial" w:eastAsia="Times New Roman" w:hAnsi="Arial" w:cs="Arial"/>
      <w:sz w:val="24"/>
      <w:szCs w:val="24"/>
      <w:lang w:eastAsia="el-GR"/>
    </w:rPr>
  </w:style>
  <w:style w:type="paragraph" w:customStyle="1" w:styleId="Style3">
    <w:name w:val="Style3"/>
    <w:basedOn w:val="Normal"/>
    <w:rsid w:val="00AD2A71"/>
    <w:pPr>
      <w:widowControl w:val="0"/>
      <w:autoSpaceDE w:val="0"/>
      <w:autoSpaceDN w:val="0"/>
      <w:adjustRightInd w:val="0"/>
      <w:spacing w:after="0" w:line="230" w:lineRule="exact"/>
    </w:pPr>
    <w:rPr>
      <w:rFonts w:ascii="Arial" w:eastAsia="Times New Roman" w:hAnsi="Arial" w:cs="Arial"/>
      <w:sz w:val="24"/>
      <w:szCs w:val="24"/>
      <w:lang w:eastAsia="el-GR"/>
    </w:rPr>
  </w:style>
  <w:style w:type="character" w:customStyle="1" w:styleId="A4">
    <w:name w:val="A4"/>
    <w:uiPriority w:val="99"/>
    <w:rsid w:val="00AD2A71"/>
    <w:rPr>
      <w:rFonts w:cs="Helvetica 55 Roman"/>
      <w:color w:val="000000"/>
      <w:sz w:val="19"/>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gentrials.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inicaltrial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968</Words>
  <Characters>5229</Characters>
  <Application>Microsoft Office Word</Application>
  <DocSecurity>0</DocSecurity>
  <Lines>43</Lines>
  <Paragraphs>12</Paragraphs>
  <ScaleCrop>false</ScaleCrop>
  <Company>v+o</Company>
  <LinksUpToDate>false</LinksUpToDate>
  <CharactersWithSpaces>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Lefki Papadimitriou</dc:creator>
  <cp:keywords/>
  <dc:description/>
  <cp:lastModifiedBy>Lefki Papadimitriou</cp:lastModifiedBy>
  <cp:revision>14</cp:revision>
  <cp:lastPrinted>2011-01-31T14:59:00Z</cp:lastPrinted>
  <dcterms:created xsi:type="dcterms:W3CDTF">2011-01-28T16:25:00Z</dcterms:created>
  <dcterms:modified xsi:type="dcterms:W3CDTF">2011-01-31T16:12:00Z</dcterms:modified>
</cp:coreProperties>
</file>